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CEF8E" w14:textId="77777777" w:rsidR="00557B33" w:rsidRDefault="00557B33" w:rsidP="00A7457C">
      <w:pPr>
        <w:pStyle w:val="ADSKContact"/>
        <w:jc w:val="both"/>
        <w:rPr>
          <w:noProof/>
          <w:lang w:val="sv-SE"/>
        </w:rPr>
      </w:pPr>
      <w:r>
        <w:rPr>
          <w:noProof/>
          <w:lang w:val="sv-SE"/>
        </w:rPr>
        <w:t xml:space="preserve">Kontakt: </w:t>
      </w:r>
    </w:p>
    <w:p w14:paraId="666E9EF2" w14:textId="77777777" w:rsidR="00081E46" w:rsidRPr="008E5AC1" w:rsidRDefault="00081E46" w:rsidP="00081E46">
      <w:pPr>
        <w:pStyle w:val="ADSKContact"/>
        <w:jc w:val="both"/>
        <w:rPr>
          <w:noProof/>
          <w:lang w:val="pl-PL"/>
        </w:rPr>
      </w:pPr>
      <w:r w:rsidRPr="001B586B">
        <w:rPr>
          <w:noProof/>
          <w:lang w:val="it-IT"/>
        </w:rPr>
        <w:t>Joanna B</w:t>
      </w:r>
      <w:r>
        <w:rPr>
          <w:noProof/>
          <w:lang w:val="it-IT"/>
        </w:rPr>
        <w:t>orowska, Omega Communication, </w:t>
      </w:r>
      <w:r>
        <w:rPr>
          <w:noProof/>
          <w:lang w:val="pl-PL"/>
        </w:rPr>
        <w:t>22 854 16</w:t>
      </w:r>
      <w:r w:rsidRPr="008E5AC1">
        <w:rPr>
          <w:noProof/>
          <w:lang w:val="pl-PL"/>
        </w:rPr>
        <w:t>23</w:t>
      </w:r>
      <w:r>
        <w:rPr>
          <w:noProof/>
          <w:lang w:val="it-IT"/>
        </w:rPr>
        <w:t xml:space="preserve">, 664 761 </w:t>
      </w:r>
      <w:r w:rsidRPr="001B586B">
        <w:rPr>
          <w:noProof/>
          <w:lang w:val="it-IT"/>
        </w:rPr>
        <w:t>401; jborowska@communication.pl</w:t>
      </w:r>
    </w:p>
    <w:p w14:paraId="3963AA2A" w14:textId="77777777" w:rsidR="00557B33" w:rsidRPr="00F4244D" w:rsidRDefault="00557B33" w:rsidP="00F4244D">
      <w:pPr>
        <w:pStyle w:val="ADSKContact"/>
        <w:rPr>
          <w:noProof/>
          <w:lang w:val="pl-PL"/>
        </w:rPr>
      </w:pPr>
      <w:r w:rsidRPr="00F4244D">
        <w:rPr>
          <w:noProof/>
          <w:lang w:val="it-IT"/>
        </w:rPr>
        <w:t>Dorota Sapija, Omega Communication, </w:t>
      </w:r>
      <w:r w:rsidRPr="00F4244D">
        <w:rPr>
          <w:noProof/>
          <w:lang w:val="pl-PL"/>
        </w:rPr>
        <w:t>22 854 1639</w:t>
      </w:r>
      <w:r w:rsidRPr="00F4244D">
        <w:rPr>
          <w:noProof/>
          <w:lang w:val="it-IT"/>
        </w:rPr>
        <w:t>, 608 038 401; dsapija@communication.pl</w:t>
      </w:r>
    </w:p>
    <w:p w14:paraId="3F83D39E" w14:textId="77777777" w:rsidR="00557B33" w:rsidRPr="00DF7C2D" w:rsidRDefault="00557B33" w:rsidP="00F93BB3">
      <w:pPr>
        <w:pBdr>
          <w:bottom w:val="single" w:sz="4" w:space="1" w:color="auto"/>
        </w:pBdr>
        <w:spacing w:line="360" w:lineRule="auto"/>
        <w:jc w:val="both"/>
        <w:rPr>
          <w:lang w:val="fr-FR"/>
        </w:rPr>
      </w:pPr>
    </w:p>
    <w:p w14:paraId="3F5A1D61" w14:textId="77777777" w:rsidR="00557B33" w:rsidRPr="00B80958" w:rsidRDefault="00557B33" w:rsidP="00F4244D">
      <w:pPr>
        <w:spacing w:line="360" w:lineRule="auto"/>
        <w:rPr>
          <w:rFonts w:cs="Arial"/>
          <w:b/>
          <w:bCs/>
          <w:sz w:val="22"/>
        </w:rPr>
      </w:pPr>
    </w:p>
    <w:p w14:paraId="662F960C" w14:textId="681EF0E8" w:rsidR="00A15550" w:rsidRDefault="00A15550" w:rsidP="008F496F">
      <w:pPr>
        <w:spacing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Liderzy stawiają na współpracę i optymalizację. Wizja branży budowlanej 2025.</w:t>
      </w:r>
    </w:p>
    <w:p w14:paraId="02D613B9" w14:textId="031EC658" w:rsidR="008F496F" w:rsidRDefault="00A15550" w:rsidP="008F496F">
      <w:pPr>
        <w:spacing w:line="360" w:lineRule="auto"/>
        <w:rPr>
          <w:rFonts w:cs="Arial"/>
          <w:bCs/>
          <w:i/>
          <w:sz w:val="22"/>
        </w:rPr>
      </w:pPr>
      <w:proofErr w:type="spellStart"/>
      <w:r>
        <w:rPr>
          <w:rFonts w:cs="Arial"/>
          <w:bCs/>
          <w:i/>
          <w:sz w:val="22"/>
        </w:rPr>
        <w:t>Autodesk</w:t>
      </w:r>
      <w:proofErr w:type="spellEnd"/>
      <w:r>
        <w:rPr>
          <w:rFonts w:cs="Arial"/>
          <w:bCs/>
          <w:i/>
          <w:sz w:val="22"/>
        </w:rPr>
        <w:t xml:space="preserve"> opublikował raport </w:t>
      </w:r>
      <w:r w:rsidR="008F496F" w:rsidRPr="00A15550">
        <w:rPr>
          <w:rFonts w:cs="Arial"/>
          <w:bCs/>
          <w:i/>
          <w:sz w:val="22"/>
        </w:rPr>
        <w:t>„Budownictwo. Innowacje. Wizja liderów branży 2025.”</w:t>
      </w:r>
    </w:p>
    <w:p w14:paraId="544D096B" w14:textId="77777777" w:rsidR="001A1D15" w:rsidRDefault="001A1D15" w:rsidP="008F496F">
      <w:pPr>
        <w:spacing w:line="360" w:lineRule="auto"/>
        <w:rPr>
          <w:rFonts w:cs="Arial"/>
          <w:bCs/>
          <w:i/>
          <w:sz w:val="22"/>
        </w:rPr>
      </w:pPr>
    </w:p>
    <w:p w14:paraId="5D6F14F2" w14:textId="3C934D82" w:rsidR="00D4260E" w:rsidRDefault="00983860" w:rsidP="00A15550">
      <w:pPr>
        <w:pStyle w:val="Akapitzlist"/>
        <w:numPr>
          <w:ilvl w:val="0"/>
          <w:numId w:val="6"/>
        </w:numPr>
        <w:spacing w:after="120" w:line="288" w:lineRule="auto"/>
        <w:ind w:left="714" w:hanging="357"/>
        <w:rPr>
          <w:rFonts w:cs="Arial"/>
          <w:bCs/>
          <w:szCs w:val="20"/>
        </w:rPr>
      </w:pPr>
      <w:r w:rsidRPr="00A15550">
        <w:rPr>
          <w:rFonts w:cs="Arial"/>
          <w:bCs/>
          <w:szCs w:val="20"/>
        </w:rPr>
        <w:t xml:space="preserve">Innowacje – tak, </w:t>
      </w:r>
      <w:r w:rsidR="00915F32" w:rsidRPr="00A15550">
        <w:rPr>
          <w:rFonts w:cs="Arial"/>
          <w:bCs/>
          <w:szCs w:val="20"/>
        </w:rPr>
        <w:t xml:space="preserve">ale </w:t>
      </w:r>
      <w:r w:rsidRPr="00A15550">
        <w:rPr>
          <w:rFonts w:cs="Arial"/>
          <w:bCs/>
          <w:szCs w:val="20"/>
        </w:rPr>
        <w:t>bez rewolucji.</w:t>
      </w:r>
      <w:r w:rsidR="00A42878" w:rsidRPr="00A15550">
        <w:rPr>
          <w:rFonts w:cs="Arial"/>
          <w:bCs/>
          <w:szCs w:val="20"/>
        </w:rPr>
        <w:t xml:space="preserve"> </w:t>
      </w:r>
      <w:r w:rsidR="00A15550">
        <w:rPr>
          <w:rFonts w:cs="Arial"/>
          <w:bCs/>
          <w:szCs w:val="20"/>
        </w:rPr>
        <w:t>Optymalizacja.</w:t>
      </w:r>
    </w:p>
    <w:p w14:paraId="7A113722" w14:textId="7DB74F52" w:rsidR="00A15550" w:rsidRPr="00A15550" w:rsidRDefault="00A15550" w:rsidP="00494BD5">
      <w:pPr>
        <w:pStyle w:val="Akapitzlist"/>
        <w:numPr>
          <w:ilvl w:val="0"/>
          <w:numId w:val="6"/>
        </w:numPr>
        <w:spacing w:before="100" w:beforeAutospacing="1" w:after="120" w:afterAutospacing="1" w:line="288" w:lineRule="auto"/>
        <w:ind w:left="714" w:hanging="357"/>
        <w:rPr>
          <w:rFonts w:cs="Arial"/>
          <w:bCs/>
          <w:szCs w:val="20"/>
        </w:rPr>
      </w:pPr>
      <w:r w:rsidRPr="00A15550">
        <w:t>W</w:t>
      </w:r>
      <w:r>
        <w:t>ażny trend – w</w:t>
      </w:r>
      <w:r w:rsidRPr="00A15550">
        <w:t>spółpraca</w:t>
      </w:r>
      <w:r>
        <w:t xml:space="preserve">, ścisła kooperacja wszystkich uczestników procesu budowlanego. </w:t>
      </w:r>
    </w:p>
    <w:p w14:paraId="1A5C1939" w14:textId="0C23BA5D" w:rsidR="00044A7D" w:rsidRPr="00A15550" w:rsidRDefault="00A15550" w:rsidP="00A15550">
      <w:pPr>
        <w:pStyle w:val="Akapitzlist"/>
        <w:numPr>
          <w:ilvl w:val="0"/>
          <w:numId w:val="6"/>
        </w:numPr>
        <w:spacing w:after="120" w:line="288" w:lineRule="auto"/>
        <w:ind w:left="714" w:hanging="357"/>
        <w:rPr>
          <w:rFonts w:cs="Arial"/>
          <w:bCs/>
          <w:szCs w:val="20"/>
        </w:rPr>
      </w:pPr>
      <w:r w:rsidRPr="00A15550">
        <w:rPr>
          <w:rFonts w:cs="Arial"/>
          <w:bCs/>
          <w:szCs w:val="20"/>
        </w:rPr>
        <w:t>Z</w:t>
      </w:r>
      <w:r w:rsidR="00044A7D" w:rsidRPr="00A15550">
        <w:rPr>
          <w:rFonts w:cs="Arial"/>
          <w:bCs/>
          <w:szCs w:val="20"/>
        </w:rPr>
        <w:t>miany społeczn</w:t>
      </w:r>
      <w:r w:rsidR="001A1D15">
        <w:rPr>
          <w:rFonts w:cs="Arial"/>
          <w:bCs/>
          <w:szCs w:val="20"/>
        </w:rPr>
        <w:t xml:space="preserve">e </w:t>
      </w:r>
      <w:r w:rsidR="00044A7D" w:rsidRPr="00A15550">
        <w:rPr>
          <w:rFonts w:cs="Arial"/>
          <w:bCs/>
          <w:szCs w:val="20"/>
        </w:rPr>
        <w:t>będą wspierały rozwój ekologicznego, zrównoważonego budownictwa</w:t>
      </w:r>
      <w:r>
        <w:rPr>
          <w:rFonts w:cs="Arial"/>
          <w:bCs/>
          <w:szCs w:val="20"/>
        </w:rPr>
        <w:t>.</w:t>
      </w:r>
      <w:r w:rsidR="00044A7D" w:rsidRPr="00A15550">
        <w:rPr>
          <w:rFonts w:cs="Arial"/>
          <w:bCs/>
          <w:szCs w:val="20"/>
        </w:rPr>
        <w:t xml:space="preserve"> </w:t>
      </w:r>
    </w:p>
    <w:p w14:paraId="5A406264" w14:textId="119FCCFE" w:rsidR="00044A7D" w:rsidRPr="00A15550" w:rsidRDefault="00044A7D" w:rsidP="00A15550">
      <w:pPr>
        <w:pStyle w:val="Akapitzlist"/>
        <w:numPr>
          <w:ilvl w:val="0"/>
          <w:numId w:val="6"/>
        </w:numPr>
        <w:spacing w:after="120" w:line="288" w:lineRule="auto"/>
        <w:ind w:left="714" w:hanging="357"/>
        <w:rPr>
          <w:b/>
        </w:rPr>
      </w:pPr>
      <w:r w:rsidRPr="00A15550">
        <w:t>Przyszłość branży silnie zdeterminuje postęp technologiczny, szczególnie w zakresie IT</w:t>
      </w:r>
      <w:r w:rsidR="00A15550">
        <w:t>.</w:t>
      </w:r>
    </w:p>
    <w:p w14:paraId="3BAC2CAE" w14:textId="37E03ABC" w:rsidR="00044A7D" w:rsidRDefault="00044A7D" w:rsidP="00A15550">
      <w:pPr>
        <w:pStyle w:val="Akapitzlist"/>
        <w:numPr>
          <w:ilvl w:val="0"/>
          <w:numId w:val="6"/>
        </w:numPr>
        <w:spacing w:after="120" w:line="288" w:lineRule="auto"/>
        <w:ind w:left="714" w:hanging="357"/>
        <w:rPr>
          <w:rFonts w:cs="Arial"/>
          <w:bCs/>
          <w:szCs w:val="20"/>
        </w:rPr>
      </w:pPr>
      <w:r w:rsidRPr="00A15550">
        <w:rPr>
          <w:rFonts w:cs="Arial"/>
          <w:bCs/>
          <w:szCs w:val="20"/>
        </w:rPr>
        <w:t>BIM będzie wdrożony na znacznie szerszą skalę</w:t>
      </w:r>
      <w:r w:rsidR="00A15550">
        <w:rPr>
          <w:rFonts w:cs="Arial"/>
          <w:bCs/>
          <w:szCs w:val="20"/>
        </w:rPr>
        <w:t>.</w:t>
      </w:r>
    </w:p>
    <w:p w14:paraId="26409565" w14:textId="2A6F4083" w:rsidR="00A15550" w:rsidRPr="00A15550" w:rsidRDefault="00A15550" w:rsidP="00A15550">
      <w:pPr>
        <w:pStyle w:val="Akapitzlist"/>
        <w:numPr>
          <w:ilvl w:val="0"/>
          <w:numId w:val="6"/>
        </w:numPr>
        <w:spacing w:after="120" w:line="288" w:lineRule="auto"/>
        <w:ind w:left="714" w:hanging="357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Rezerwy wydajności w lepszym planowaniu i </w:t>
      </w:r>
      <w:r w:rsidR="001A1D15">
        <w:rPr>
          <w:rFonts w:cs="Arial"/>
          <w:bCs/>
          <w:szCs w:val="20"/>
        </w:rPr>
        <w:t xml:space="preserve">w </w:t>
      </w:r>
      <w:r>
        <w:rPr>
          <w:rFonts w:cs="Arial"/>
          <w:bCs/>
          <w:szCs w:val="20"/>
        </w:rPr>
        <w:t>analizie danych.</w:t>
      </w:r>
    </w:p>
    <w:p w14:paraId="107B4F9E" w14:textId="21FCCCC1" w:rsidR="008D654D" w:rsidRDefault="00557B33" w:rsidP="00983860">
      <w:pPr>
        <w:spacing w:before="100" w:beforeAutospacing="1" w:after="100" w:afterAutospacing="1" w:line="360" w:lineRule="auto"/>
      </w:pPr>
      <w:r w:rsidRPr="005A1758">
        <w:rPr>
          <w:rFonts w:cs="Arial"/>
          <w:b/>
          <w:szCs w:val="20"/>
        </w:rPr>
        <w:t xml:space="preserve">Warszawa, </w:t>
      </w:r>
      <w:r w:rsidR="00983860">
        <w:rPr>
          <w:rFonts w:cs="Arial"/>
          <w:b/>
          <w:szCs w:val="20"/>
        </w:rPr>
        <w:t>2</w:t>
      </w:r>
      <w:r w:rsidR="00737568">
        <w:rPr>
          <w:rFonts w:cs="Arial"/>
          <w:b/>
          <w:szCs w:val="20"/>
        </w:rPr>
        <w:t>7</w:t>
      </w:r>
      <w:r w:rsidR="00983860">
        <w:rPr>
          <w:rFonts w:cs="Arial"/>
          <w:b/>
          <w:szCs w:val="20"/>
        </w:rPr>
        <w:t xml:space="preserve"> czerwca 2019 </w:t>
      </w:r>
      <w:r>
        <w:rPr>
          <w:rFonts w:cs="Arial"/>
          <w:szCs w:val="20"/>
        </w:rPr>
        <w:t xml:space="preserve">– </w:t>
      </w:r>
      <w:r w:rsidR="00983860" w:rsidRPr="005527EF">
        <w:rPr>
          <w:rFonts w:cs="Arial"/>
          <w:bCs/>
          <w:szCs w:val="20"/>
        </w:rPr>
        <w:t>Jak będzie wyglądała polska branża budowlana w 2025? Gdzie tkwi potencjał do wzrostu efektywności? Jak firmy budowlane podchodzą do wdrażania innowacji? Na te pytania odpowiada raport „Budownictwo. Innowacje. Wizja liderów</w:t>
      </w:r>
      <w:r w:rsidR="00A81374" w:rsidRPr="005527EF">
        <w:rPr>
          <w:rFonts w:cs="Arial"/>
          <w:bCs/>
          <w:szCs w:val="20"/>
        </w:rPr>
        <w:t xml:space="preserve"> branży 2025”</w:t>
      </w:r>
      <w:r w:rsidR="005527EF">
        <w:rPr>
          <w:rFonts w:cs="Arial"/>
          <w:bCs/>
          <w:szCs w:val="20"/>
        </w:rPr>
        <w:t xml:space="preserve">, zrealizowany </w:t>
      </w:r>
      <w:r w:rsidR="00A81374" w:rsidRPr="005527EF">
        <w:rPr>
          <w:rFonts w:cs="Arial"/>
          <w:bCs/>
          <w:szCs w:val="20"/>
        </w:rPr>
        <w:t>na </w:t>
      </w:r>
      <w:r w:rsidR="00983860" w:rsidRPr="005527EF">
        <w:rPr>
          <w:rFonts w:cs="Arial"/>
          <w:bCs/>
          <w:szCs w:val="20"/>
        </w:rPr>
        <w:t xml:space="preserve">zlecenie </w:t>
      </w:r>
      <w:proofErr w:type="spellStart"/>
      <w:r w:rsidR="00983860" w:rsidRPr="005527EF">
        <w:rPr>
          <w:rFonts w:cs="Arial"/>
          <w:bCs/>
          <w:szCs w:val="20"/>
        </w:rPr>
        <w:t>Autodesk</w:t>
      </w:r>
      <w:proofErr w:type="spellEnd"/>
      <w:r w:rsidR="00983860" w:rsidRPr="005527EF">
        <w:rPr>
          <w:rFonts w:cs="Arial"/>
          <w:bCs/>
          <w:szCs w:val="20"/>
        </w:rPr>
        <w:t xml:space="preserve"> przez ASM </w:t>
      </w:r>
      <w:r w:rsidR="001A1D15">
        <w:rPr>
          <w:rFonts w:cs="Arial"/>
          <w:bCs/>
          <w:szCs w:val="20"/>
        </w:rPr>
        <w:t xml:space="preserve">- </w:t>
      </w:r>
      <w:r w:rsidR="00983860" w:rsidRPr="005527EF">
        <w:rPr>
          <w:rFonts w:cs="Arial"/>
          <w:bCs/>
          <w:szCs w:val="20"/>
        </w:rPr>
        <w:t>Centrum Badań i Analiz Ryn</w:t>
      </w:r>
      <w:r w:rsidR="005527EF">
        <w:rPr>
          <w:rFonts w:cs="Arial"/>
          <w:bCs/>
          <w:szCs w:val="20"/>
        </w:rPr>
        <w:t>k</w:t>
      </w:r>
      <w:r w:rsidR="00983860" w:rsidRPr="005527EF">
        <w:rPr>
          <w:rFonts w:cs="Arial"/>
          <w:bCs/>
          <w:szCs w:val="20"/>
        </w:rPr>
        <w:t>u.</w:t>
      </w:r>
      <w:r w:rsidR="00770972" w:rsidRPr="005527EF">
        <w:rPr>
          <w:rFonts w:cs="Arial"/>
          <w:bCs/>
          <w:szCs w:val="20"/>
        </w:rPr>
        <w:t xml:space="preserve"> </w:t>
      </w:r>
      <w:r w:rsidR="005527EF">
        <w:rPr>
          <w:rFonts w:cs="Arial"/>
          <w:bCs/>
          <w:szCs w:val="20"/>
        </w:rPr>
        <w:t>Materiał przygotowano na podstawie pogłębionych wywiadów jakościowych z przedstawicielami kadry zarządzającej</w:t>
      </w:r>
      <w:r w:rsidR="001A1D15">
        <w:rPr>
          <w:rFonts w:cs="Arial"/>
          <w:bCs/>
          <w:szCs w:val="20"/>
        </w:rPr>
        <w:t xml:space="preserve"> największych podmiotów działających w polskiej branży budowlanej</w:t>
      </w:r>
      <w:r w:rsidR="005527EF">
        <w:rPr>
          <w:rFonts w:cs="Arial"/>
          <w:bCs/>
          <w:szCs w:val="20"/>
        </w:rPr>
        <w:t xml:space="preserve">. </w:t>
      </w:r>
      <w:r w:rsidR="00770972" w:rsidRPr="005527EF">
        <w:rPr>
          <w:rFonts w:cs="Arial"/>
          <w:bCs/>
          <w:szCs w:val="20"/>
        </w:rPr>
        <w:t xml:space="preserve">Raport </w:t>
      </w:r>
      <w:r w:rsidR="005527EF">
        <w:rPr>
          <w:rFonts w:cs="Arial"/>
          <w:bCs/>
          <w:szCs w:val="20"/>
        </w:rPr>
        <w:t xml:space="preserve">można pobrać ze </w:t>
      </w:r>
      <w:r w:rsidR="00404484">
        <w:rPr>
          <w:rFonts w:cs="Arial"/>
          <w:bCs/>
          <w:szCs w:val="20"/>
        </w:rPr>
        <w:t xml:space="preserve">strony </w:t>
      </w:r>
      <w:hyperlink r:id="rId8" w:history="1">
        <w:r w:rsidR="00EB0A8D">
          <w:rPr>
            <w:rStyle w:val="Hipercze"/>
            <w:rFonts w:cs="Arial"/>
            <w:sz w:val="21"/>
            <w:szCs w:val="21"/>
            <w:shd w:val="clear" w:color="auto" w:fill="FFFFFF"/>
            <w:lang w:val="en-US"/>
          </w:rPr>
          <w:t>http://autodesk.p</w:t>
        </w:r>
        <w:r w:rsidR="00EB0A8D">
          <w:rPr>
            <w:rStyle w:val="Hipercze"/>
            <w:rFonts w:cs="Arial"/>
            <w:sz w:val="21"/>
            <w:szCs w:val="21"/>
            <w:shd w:val="clear" w:color="auto" w:fill="FFFFFF"/>
            <w:lang w:val="en-US"/>
          </w:rPr>
          <w:t>l</w:t>
        </w:r>
        <w:r w:rsidR="00EB0A8D">
          <w:rPr>
            <w:rStyle w:val="Hipercze"/>
            <w:rFonts w:cs="Arial"/>
            <w:sz w:val="21"/>
            <w:szCs w:val="21"/>
            <w:shd w:val="clear" w:color="auto" w:fill="FFFFFF"/>
            <w:lang w:val="en-US"/>
          </w:rPr>
          <w:t>/wizja-2025</w:t>
        </w:r>
      </w:hyperlink>
      <w:bookmarkStart w:id="0" w:name="_GoBack"/>
      <w:bookmarkEnd w:id="0"/>
    </w:p>
    <w:p w14:paraId="15DE1CDA" w14:textId="77777777" w:rsidR="001A1D15" w:rsidRDefault="00983860" w:rsidP="00983860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Respondenci są zgodni</w:t>
      </w:r>
      <w:r w:rsidR="005527EF">
        <w:rPr>
          <w:rFonts w:cs="Arial"/>
          <w:bCs/>
          <w:szCs w:val="20"/>
        </w:rPr>
        <w:t xml:space="preserve">: </w:t>
      </w:r>
      <w:r>
        <w:rPr>
          <w:rFonts w:cs="Arial"/>
          <w:bCs/>
          <w:szCs w:val="20"/>
        </w:rPr>
        <w:t xml:space="preserve">najbliższe lata to raczej optymalizacja i stopniowe wdrażanie nowych rozwiązań niż rewolucja. </w:t>
      </w:r>
      <w:r w:rsidR="001A1D15">
        <w:rPr>
          <w:rFonts w:cs="Arial"/>
          <w:bCs/>
          <w:szCs w:val="20"/>
        </w:rPr>
        <w:t>Liderzy branży o</w:t>
      </w:r>
      <w:r>
        <w:rPr>
          <w:rFonts w:cs="Arial"/>
          <w:bCs/>
          <w:szCs w:val="20"/>
        </w:rPr>
        <w:t xml:space="preserve">ceniają, że większość </w:t>
      </w:r>
      <w:r w:rsidR="00404484">
        <w:rPr>
          <w:rFonts w:cs="Arial"/>
          <w:bCs/>
          <w:szCs w:val="20"/>
        </w:rPr>
        <w:t xml:space="preserve">z nich </w:t>
      </w:r>
      <w:r>
        <w:rPr>
          <w:rFonts w:cs="Arial"/>
          <w:bCs/>
          <w:szCs w:val="20"/>
        </w:rPr>
        <w:t xml:space="preserve">jest już dostępna, teraz czas na ich szersze zastosowanie. </w:t>
      </w:r>
    </w:p>
    <w:p w14:paraId="277429F4" w14:textId="2957B2D2" w:rsidR="002D7DF7" w:rsidRDefault="001A1D15" w:rsidP="00983860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1A1D15">
        <w:rPr>
          <w:rFonts w:cs="Arial"/>
          <w:bCs/>
          <w:szCs w:val="20"/>
        </w:rPr>
        <w:t>B</w:t>
      </w:r>
      <w:r w:rsidR="00983860" w:rsidRPr="001A1D15">
        <w:rPr>
          <w:rFonts w:cs="Arial"/>
          <w:bCs/>
          <w:szCs w:val="20"/>
        </w:rPr>
        <w:t>ra</w:t>
      </w:r>
      <w:r w:rsidR="00A81374" w:rsidRPr="001A1D15">
        <w:rPr>
          <w:rFonts w:cs="Arial"/>
          <w:bCs/>
          <w:szCs w:val="20"/>
        </w:rPr>
        <w:t>nż</w:t>
      </w:r>
      <w:r w:rsidRPr="001A1D15">
        <w:rPr>
          <w:rFonts w:cs="Arial"/>
          <w:bCs/>
          <w:szCs w:val="20"/>
        </w:rPr>
        <w:t xml:space="preserve">a mierzy się </w:t>
      </w:r>
      <w:r w:rsidR="00A81374" w:rsidRPr="001A1D15">
        <w:rPr>
          <w:rFonts w:cs="Arial"/>
          <w:bCs/>
          <w:szCs w:val="20"/>
        </w:rPr>
        <w:t xml:space="preserve">z </w:t>
      </w:r>
      <w:r w:rsidRPr="001A1D15">
        <w:rPr>
          <w:rFonts w:cs="Arial"/>
          <w:bCs/>
          <w:szCs w:val="20"/>
        </w:rPr>
        <w:t xml:space="preserve">wieloma </w:t>
      </w:r>
      <w:r w:rsidR="00A81374" w:rsidRPr="001A1D15">
        <w:rPr>
          <w:rFonts w:cs="Arial"/>
          <w:bCs/>
          <w:szCs w:val="20"/>
        </w:rPr>
        <w:t>wyzwaniami</w:t>
      </w:r>
      <w:r w:rsidRPr="001A1D15">
        <w:rPr>
          <w:rFonts w:cs="Arial"/>
          <w:bCs/>
          <w:szCs w:val="20"/>
        </w:rPr>
        <w:t xml:space="preserve">, w tym </w:t>
      </w:r>
      <w:r w:rsidR="00A81374" w:rsidRPr="001A1D15">
        <w:rPr>
          <w:rFonts w:cs="Arial"/>
          <w:bCs/>
          <w:szCs w:val="20"/>
        </w:rPr>
        <w:t>wynikającymi z </w:t>
      </w:r>
      <w:r w:rsidR="0004357A" w:rsidRPr="001A1D15">
        <w:rPr>
          <w:rFonts w:cs="Arial"/>
          <w:bCs/>
          <w:szCs w:val="20"/>
        </w:rPr>
        <w:t>sytuacji na </w:t>
      </w:r>
      <w:r w:rsidR="00983860" w:rsidRPr="001A1D15">
        <w:rPr>
          <w:rFonts w:cs="Arial"/>
          <w:bCs/>
          <w:szCs w:val="20"/>
        </w:rPr>
        <w:t>rynku pracy, rosnącymi cenami energii i materiałów budowlanych. Z drugiej</w:t>
      </w:r>
      <w:r w:rsidR="00983860">
        <w:rPr>
          <w:rFonts w:cs="Arial"/>
          <w:bCs/>
          <w:szCs w:val="20"/>
        </w:rPr>
        <w:t xml:space="preserve"> strony</w:t>
      </w:r>
      <w:r w:rsidR="005839E6">
        <w:rPr>
          <w:rFonts w:cs="Arial"/>
          <w:bCs/>
          <w:szCs w:val="20"/>
        </w:rPr>
        <w:t>, to</w:t>
      </w:r>
      <w:r w:rsidR="0098386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czas </w:t>
      </w:r>
      <w:r w:rsidR="002D7DF7">
        <w:rPr>
          <w:rFonts w:cs="Arial"/>
          <w:bCs/>
          <w:szCs w:val="20"/>
        </w:rPr>
        <w:t>wyjści</w:t>
      </w:r>
      <w:r>
        <w:rPr>
          <w:rFonts w:cs="Arial"/>
          <w:bCs/>
          <w:szCs w:val="20"/>
        </w:rPr>
        <w:t>a</w:t>
      </w:r>
      <w:r w:rsidR="002D7DF7">
        <w:rPr>
          <w:rFonts w:cs="Arial"/>
          <w:bCs/>
          <w:szCs w:val="20"/>
        </w:rPr>
        <w:t xml:space="preserve"> naprzeciw nowym </w:t>
      </w:r>
      <w:proofErr w:type="gramStart"/>
      <w:r w:rsidR="002D7DF7">
        <w:rPr>
          <w:rFonts w:cs="Arial"/>
          <w:bCs/>
          <w:szCs w:val="20"/>
        </w:rPr>
        <w:t>oczekiwaniom  – w</w:t>
      </w:r>
      <w:proofErr w:type="gramEnd"/>
      <w:r w:rsidR="002D7DF7">
        <w:rPr>
          <w:rFonts w:cs="Arial"/>
          <w:bCs/>
          <w:szCs w:val="20"/>
        </w:rPr>
        <w:t xml:space="preserve"> zakresie ekologii, nowych potrzeb mieszkaniowych, zmiany preferencji inwestorów. Trendy społeczne, w tym większa mobilność, zmiana podejścia do własności</w:t>
      </w:r>
      <w:r w:rsidR="00044A7D">
        <w:rPr>
          <w:rFonts w:cs="Arial"/>
          <w:bCs/>
          <w:szCs w:val="20"/>
        </w:rPr>
        <w:t>,</w:t>
      </w:r>
      <w:r w:rsidR="00404484">
        <w:rPr>
          <w:rFonts w:cs="Arial"/>
          <w:bCs/>
          <w:szCs w:val="20"/>
        </w:rPr>
        <w:t xml:space="preserve"> czy charakteru pracy</w:t>
      </w:r>
      <w:r w:rsidR="002D7DF7">
        <w:rPr>
          <w:rFonts w:cs="Arial"/>
          <w:bCs/>
          <w:szCs w:val="20"/>
        </w:rPr>
        <w:t>,</w:t>
      </w:r>
      <w:r w:rsidR="00404484">
        <w:rPr>
          <w:rFonts w:cs="Arial"/>
          <w:bCs/>
          <w:szCs w:val="20"/>
        </w:rPr>
        <w:t xml:space="preserve"> a także</w:t>
      </w:r>
      <w:r w:rsidR="002D7DF7">
        <w:rPr>
          <w:rFonts w:cs="Arial"/>
          <w:bCs/>
          <w:szCs w:val="20"/>
        </w:rPr>
        <w:t xml:space="preserve"> rosnąca świadomość w zakresie energooszczędności </w:t>
      </w:r>
      <w:r w:rsidR="005839E6">
        <w:rPr>
          <w:rFonts w:cs="Arial"/>
          <w:bCs/>
          <w:szCs w:val="20"/>
        </w:rPr>
        <w:t>czy starze</w:t>
      </w:r>
      <w:r>
        <w:rPr>
          <w:rFonts w:cs="Arial"/>
          <w:bCs/>
          <w:szCs w:val="20"/>
        </w:rPr>
        <w:t xml:space="preserve">nie </w:t>
      </w:r>
      <w:r w:rsidR="005839E6">
        <w:rPr>
          <w:rFonts w:cs="Arial"/>
          <w:bCs/>
          <w:szCs w:val="20"/>
        </w:rPr>
        <w:t>się społeczeństw</w:t>
      </w:r>
      <w:r>
        <w:rPr>
          <w:rFonts w:cs="Arial"/>
          <w:bCs/>
          <w:szCs w:val="20"/>
        </w:rPr>
        <w:t>a</w:t>
      </w:r>
      <w:r w:rsidR="005839E6">
        <w:rPr>
          <w:rFonts w:cs="Arial"/>
          <w:bCs/>
          <w:szCs w:val="20"/>
        </w:rPr>
        <w:t xml:space="preserve"> </w:t>
      </w:r>
      <w:r w:rsidR="0064018A">
        <w:rPr>
          <w:rFonts w:cs="Arial"/>
          <w:bCs/>
          <w:szCs w:val="20"/>
        </w:rPr>
        <w:t>będą miały ogromny wpływ na to</w:t>
      </w:r>
      <w:r w:rsidR="005527EF">
        <w:rPr>
          <w:rFonts w:cs="Arial"/>
          <w:bCs/>
          <w:szCs w:val="20"/>
        </w:rPr>
        <w:t>,</w:t>
      </w:r>
      <w:r w:rsidR="0064018A">
        <w:rPr>
          <w:rFonts w:cs="Arial"/>
          <w:bCs/>
          <w:szCs w:val="20"/>
        </w:rPr>
        <w:t xml:space="preserve"> co i jak będzie budowane.</w:t>
      </w:r>
      <w:r w:rsidR="002D7DF7">
        <w:rPr>
          <w:rFonts w:cs="Arial"/>
          <w:bCs/>
          <w:szCs w:val="20"/>
        </w:rPr>
        <w:t xml:space="preserve"> </w:t>
      </w:r>
    </w:p>
    <w:p w14:paraId="203D0203" w14:textId="3043072C" w:rsidR="002D7DF7" w:rsidRDefault="002D7DF7" w:rsidP="00983860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Potencjał wzrostu efektywności branży jest ogromny, w szczególno</w:t>
      </w:r>
      <w:r w:rsidR="0004357A">
        <w:rPr>
          <w:rFonts w:cs="Arial"/>
          <w:bCs/>
          <w:szCs w:val="20"/>
        </w:rPr>
        <w:t>ści przez zmianę podejścia do </w:t>
      </w:r>
      <w:r>
        <w:rPr>
          <w:rFonts w:cs="Arial"/>
          <w:bCs/>
          <w:szCs w:val="20"/>
        </w:rPr>
        <w:t>współpracy pomiędzy poszczególnymi podmiotami</w:t>
      </w:r>
      <w:r w:rsidR="005839E6">
        <w:rPr>
          <w:rFonts w:cs="Arial"/>
          <w:bCs/>
          <w:szCs w:val="20"/>
        </w:rPr>
        <w:t xml:space="preserve"> i stopniowe wdrażanie nowości</w:t>
      </w:r>
      <w:r>
        <w:rPr>
          <w:rFonts w:cs="Arial"/>
          <w:bCs/>
          <w:szCs w:val="20"/>
        </w:rPr>
        <w:t xml:space="preserve">. </w:t>
      </w:r>
    </w:p>
    <w:p w14:paraId="6F4D65F4" w14:textId="6D6F2097" w:rsidR="002719A8" w:rsidRDefault="002719A8" w:rsidP="00983860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930124">
        <w:rPr>
          <w:rFonts w:cs="Arial"/>
          <w:bCs/>
          <w:i/>
          <w:szCs w:val="20"/>
        </w:rPr>
        <w:t xml:space="preserve">„Raport wyraźnie podkreśla rolę współpracy i nowych technologii, zwłaszcza wspierających planowanie, komunikację i optymalizację procesów. Niezwykle ważne miejsce zajmuje BIM i perspektywa objęcia tym sposobem pracy wszystkich uczestników procesu projektowo-budowlanego. </w:t>
      </w:r>
      <w:r w:rsidRPr="00930124">
        <w:rPr>
          <w:rFonts w:cs="Arial"/>
          <w:bCs/>
          <w:i/>
          <w:szCs w:val="20"/>
        </w:rPr>
        <w:lastRenderedPageBreak/>
        <w:t xml:space="preserve">Są to elementy spójne ze strategią </w:t>
      </w:r>
      <w:proofErr w:type="spellStart"/>
      <w:r w:rsidRPr="00930124">
        <w:rPr>
          <w:rFonts w:cs="Arial"/>
          <w:bCs/>
          <w:i/>
          <w:szCs w:val="20"/>
        </w:rPr>
        <w:t>Autodesk</w:t>
      </w:r>
      <w:proofErr w:type="spellEnd"/>
      <w:r w:rsidRPr="00930124">
        <w:rPr>
          <w:rFonts w:cs="Arial"/>
          <w:bCs/>
          <w:i/>
          <w:szCs w:val="20"/>
        </w:rPr>
        <w:t xml:space="preserve"> dla rynku architektoniczno-budowlanego.”</w:t>
      </w:r>
      <w:r>
        <w:rPr>
          <w:rFonts w:cs="Arial"/>
          <w:bCs/>
          <w:szCs w:val="20"/>
        </w:rPr>
        <w:t xml:space="preserve"> – </w:t>
      </w:r>
      <w:proofErr w:type="gramStart"/>
      <w:r>
        <w:rPr>
          <w:rFonts w:cs="Arial"/>
          <w:bCs/>
          <w:szCs w:val="20"/>
        </w:rPr>
        <w:t>podkreśla</w:t>
      </w:r>
      <w:proofErr w:type="gramEnd"/>
      <w:r>
        <w:rPr>
          <w:rFonts w:cs="Arial"/>
          <w:bCs/>
          <w:szCs w:val="20"/>
        </w:rPr>
        <w:t xml:space="preserve"> Przemysław </w:t>
      </w:r>
      <w:r w:rsidRPr="00930124">
        <w:rPr>
          <w:rFonts w:cs="Arial"/>
          <w:bCs/>
          <w:szCs w:val="20"/>
        </w:rPr>
        <w:t xml:space="preserve">Nogaj, menedżer ds. rozwiązań AEC, </w:t>
      </w:r>
      <w:proofErr w:type="spellStart"/>
      <w:r w:rsidRPr="00930124">
        <w:rPr>
          <w:rFonts w:cs="Arial"/>
          <w:bCs/>
          <w:szCs w:val="20"/>
        </w:rPr>
        <w:t>Autodesk</w:t>
      </w:r>
      <w:proofErr w:type="spellEnd"/>
      <w:r w:rsidRPr="00930124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</w:p>
    <w:p w14:paraId="4E21EF7D" w14:textId="77777777" w:rsidR="00983860" w:rsidRPr="008A119C" w:rsidRDefault="00983860" w:rsidP="00983860">
      <w:pPr>
        <w:spacing w:before="100" w:beforeAutospacing="1" w:after="100" w:afterAutospacing="1" w:line="360" w:lineRule="auto"/>
        <w:rPr>
          <w:b/>
        </w:rPr>
      </w:pPr>
      <w:r w:rsidRPr="008A119C">
        <w:rPr>
          <w:b/>
        </w:rPr>
        <w:t>Budownictwo przyszłości – ekologia, automatyzacja i nowe materiały</w:t>
      </w:r>
    </w:p>
    <w:p w14:paraId="18AC4713" w14:textId="5B422F26" w:rsidR="005839E6" w:rsidRDefault="005839E6" w:rsidP="00983860">
      <w:pPr>
        <w:spacing w:before="100" w:beforeAutospacing="1" w:after="100" w:afterAutospacing="1" w:line="360" w:lineRule="auto"/>
      </w:pPr>
      <w:r>
        <w:t>Zdaniem respondentów</w:t>
      </w:r>
      <w:r w:rsidR="005527EF">
        <w:t>,</w:t>
      </w:r>
      <w:r>
        <w:t xml:space="preserve"> b</w:t>
      </w:r>
      <w:r w:rsidR="00983860">
        <w:t xml:space="preserve">udownictwo przyszłości </w:t>
      </w:r>
      <w:r>
        <w:t xml:space="preserve">zdeterminuje kilka ważnych </w:t>
      </w:r>
      <w:r w:rsidR="00D40A41">
        <w:t>czynników</w:t>
      </w:r>
      <w:r>
        <w:t xml:space="preserve">. </w:t>
      </w:r>
    </w:p>
    <w:p w14:paraId="5FFB4BEF" w14:textId="4F85F960" w:rsidR="00983860" w:rsidRDefault="005839E6" w:rsidP="00983860">
      <w:pPr>
        <w:spacing w:before="100" w:beforeAutospacing="1" w:after="100" w:afterAutospacing="1" w:line="360" w:lineRule="auto"/>
      </w:pPr>
      <w:r>
        <w:t>P</w:t>
      </w:r>
      <w:r w:rsidR="00983860">
        <w:t>rzede wszystkim</w:t>
      </w:r>
      <w:r>
        <w:t xml:space="preserve"> będą to</w:t>
      </w:r>
      <w:r w:rsidR="00983860">
        <w:t xml:space="preserve"> </w:t>
      </w:r>
      <w:r w:rsidR="00983860" w:rsidRPr="008A119C">
        <w:rPr>
          <w:b/>
        </w:rPr>
        <w:t>kwestie związane z ekologią</w:t>
      </w:r>
      <w:r w:rsidR="00983860">
        <w:t xml:space="preserve"> - podnosz</w:t>
      </w:r>
      <w:r w:rsidR="002719A8">
        <w:t>enie efektywności energetycznej</w:t>
      </w:r>
      <w:r w:rsidR="00983860">
        <w:t>, poszukiwanie nowych materiałów budowlanych, stosowanie alternatywnych źródeł energii.</w:t>
      </w:r>
      <w:r w:rsidR="00A81374">
        <w:t xml:space="preserve"> Z </w:t>
      </w:r>
      <w:r>
        <w:t>drugiej strony optymalizacja - redukowanie</w:t>
      </w:r>
      <w:r w:rsidR="00983860">
        <w:t xml:space="preserve"> odpad</w:t>
      </w:r>
      <w:r>
        <w:t>ów budowlanych</w:t>
      </w:r>
      <w:r w:rsidR="00983860">
        <w:t>, minimalizowa</w:t>
      </w:r>
      <w:r>
        <w:t xml:space="preserve">nie </w:t>
      </w:r>
      <w:r w:rsidR="00983860">
        <w:t>zużyci</w:t>
      </w:r>
      <w:r>
        <w:t>a</w:t>
      </w:r>
      <w:r w:rsidR="00983860">
        <w:t xml:space="preserve"> energii</w:t>
      </w:r>
      <w:r w:rsidR="005527EF">
        <w:t>,</w:t>
      </w:r>
      <w:r w:rsidR="00983860">
        <w:t xml:space="preserve"> związane</w:t>
      </w:r>
      <w:r>
        <w:t>go</w:t>
      </w:r>
      <w:r w:rsidR="00983860">
        <w:t xml:space="preserve"> z</w:t>
      </w:r>
      <w:r w:rsidR="00A42878">
        <w:t xml:space="preserve"> </w:t>
      </w:r>
      <w:r w:rsidR="00983860">
        <w:t xml:space="preserve">produkcją i transportem materiałów budowlanych. </w:t>
      </w:r>
    </w:p>
    <w:p w14:paraId="1D733780" w14:textId="62485D98" w:rsidR="00983860" w:rsidRDefault="00983860" w:rsidP="00983860">
      <w:pPr>
        <w:spacing w:before="100" w:beforeAutospacing="1" w:after="100" w:afterAutospacing="1" w:line="360" w:lineRule="auto"/>
      </w:pPr>
      <w:r w:rsidRPr="008A119C">
        <w:rPr>
          <w:b/>
        </w:rPr>
        <w:t>Digitalizacja i automatyzacja procesów</w:t>
      </w:r>
      <w:r>
        <w:t xml:space="preserve"> – będą bezwzglę</w:t>
      </w:r>
      <w:r w:rsidR="00A81374">
        <w:t>dnie coraz szerzej wkraczały do </w:t>
      </w:r>
      <w:r>
        <w:t xml:space="preserve">budownictwa. W kontekście cyfryzacji podkreślano jednocześnie, że </w:t>
      </w:r>
      <w:r w:rsidR="005527EF">
        <w:t xml:space="preserve">- </w:t>
      </w:r>
      <w:r>
        <w:t>poza narzędziami</w:t>
      </w:r>
      <w:r w:rsidR="005527EF">
        <w:t xml:space="preserve"> - </w:t>
      </w:r>
      <w:r>
        <w:t>niezbędne jest wypracowanie rozwiązań pozwalających na obrót dokumentacj</w:t>
      </w:r>
      <w:r w:rsidR="005839E6">
        <w:t>ą</w:t>
      </w:r>
      <w:r>
        <w:t xml:space="preserve"> – nie tylko w obszarze jednej firmy, ale pomiędzy wszystkimi uczestnikami poszczególnych etapów realizacji inwestycji. </w:t>
      </w:r>
    </w:p>
    <w:p w14:paraId="1D11E124" w14:textId="77777777" w:rsidR="002719A8" w:rsidRDefault="002719A8" w:rsidP="002719A8">
      <w:pPr>
        <w:spacing w:before="100" w:beforeAutospacing="1" w:after="100" w:afterAutospacing="1" w:line="360" w:lineRule="auto"/>
      </w:pPr>
      <w:r>
        <w:t xml:space="preserve">Przyszłość budownictwa to </w:t>
      </w:r>
      <w:r w:rsidRPr="008A119C">
        <w:rPr>
          <w:b/>
        </w:rPr>
        <w:t>rozwój nowoczesnych technik materiałowych</w:t>
      </w:r>
      <w:r>
        <w:t>. Z jednej strony wiąże się to z silniejszą współpracą</w:t>
      </w:r>
      <w:r w:rsidRPr="00BA2659">
        <w:t xml:space="preserve"> </w:t>
      </w:r>
      <w:r>
        <w:t>z producentami, z drugiej - z intensyfikacją działań badawczo-rozwojowych, podejmowanych przez inwestorów i wykonawców.</w:t>
      </w:r>
      <w:r w:rsidRPr="00BA2659">
        <w:t xml:space="preserve"> </w:t>
      </w:r>
    </w:p>
    <w:p w14:paraId="6A18AAA9" w14:textId="51F6DF25" w:rsidR="00983860" w:rsidRDefault="00983860" w:rsidP="00983860">
      <w:pPr>
        <w:spacing w:before="100" w:beforeAutospacing="1" w:after="100" w:afterAutospacing="1" w:line="360" w:lineRule="auto"/>
      </w:pPr>
      <w:r>
        <w:t>Ważne jest też nowe podejście do relacji na rynku</w:t>
      </w:r>
      <w:r w:rsidR="005527EF">
        <w:t xml:space="preserve">: </w:t>
      </w:r>
      <w:r w:rsidRPr="008A119C">
        <w:rPr>
          <w:b/>
        </w:rPr>
        <w:t>współpraca</w:t>
      </w:r>
      <w:r>
        <w:t xml:space="preserve"> to kolejne słowo-klucz określające przyszłość branży. Oczekuje się ścisłej kooperacji wszystkich uczes</w:t>
      </w:r>
      <w:r w:rsidR="00A81374">
        <w:t>tników procesu budowlanego, ale </w:t>
      </w:r>
      <w:r>
        <w:t xml:space="preserve">również jednostek o tym samym zakresie działalności. </w:t>
      </w:r>
    </w:p>
    <w:p w14:paraId="003EABE6" w14:textId="4AF3EF49" w:rsidR="00983860" w:rsidRDefault="00983860" w:rsidP="00983860">
      <w:pPr>
        <w:spacing w:before="100" w:beforeAutospacing="1" w:after="100" w:afterAutospacing="1" w:line="360" w:lineRule="auto"/>
      </w:pPr>
      <w:r>
        <w:t xml:space="preserve">W ślad za rozwojem technologicznym będziemy mieli do czynienia z </w:t>
      </w:r>
      <w:r w:rsidRPr="008A119C">
        <w:rPr>
          <w:b/>
        </w:rPr>
        <w:t>profesjonalizacją kadry</w:t>
      </w:r>
      <w:r>
        <w:t>. Idzie za tym konieczność potężnych zmian w zakresie systemu kształ</w:t>
      </w:r>
      <w:r w:rsidR="0004357A">
        <w:t>cenia zarówno zawodowego, jak </w:t>
      </w:r>
      <w:r w:rsidR="00A81374">
        <w:t>i </w:t>
      </w:r>
      <w:r>
        <w:t>wyższego. System edukacji musi być ściśle powiązany z potrzebami rynku</w:t>
      </w:r>
      <w:r w:rsidR="00D40A41">
        <w:t xml:space="preserve">, a te dotyczą </w:t>
      </w:r>
      <w:r w:rsidR="00044A7D">
        <w:t>metodyki BIM</w:t>
      </w:r>
      <w:r w:rsidR="00D40A41">
        <w:t xml:space="preserve"> w kontekście zarządzania procesem inwestycy</w:t>
      </w:r>
      <w:r w:rsidR="00DE0BA2">
        <w:t>j</w:t>
      </w:r>
      <w:r w:rsidR="00D40A41">
        <w:t>nym</w:t>
      </w:r>
      <w:r w:rsidR="00044A7D">
        <w:t>,</w:t>
      </w:r>
      <w:r w:rsidR="00D40A41">
        <w:t xml:space="preserve"> czy umiejętnego wykorzystania nowoczesnych technologii na placu budowy jak również na etapie przygotowania inwestycji.</w:t>
      </w:r>
      <w:r>
        <w:t xml:space="preserve"> </w:t>
      </w:r>
    </w:p>
    <w:p w14:paraId="1BAAE7DD" w14:textId="246F2072" w:rsidR="008D654D" w:rsidRPr="002D7DF7" w:rsidRDefault="005839E6" w:rsidP="008D654D">
      <w:pPr>
        <w:spacing w:before="100" w:beforeAutospacing="1" w:after="100" w:afterAutospacing="1" w:line="36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Innowacje dla </w:t>
      </w:r>
      <w:r w:rsidR="002D7DF7" w:rsidRPr="002D7DF7">
        <w:rPr>
          <w:rFonts w:cs="Arial"/>
          <w:b/>
          <w:bCs/>
          <w:szCs w:val="20"/>
        </w:rPr>
        <w:t>wydajnoś</w:t>
      </w:r>
      <w:r>
        <w:rPr>
          <w:rFonts w:cs="Arial"/>
          <w:b/>
          <w:bCs/>
          <w:szCs w:val="20"/>
        </w:rPr>
        <w:t>ci budownictwa</w:t>
      </w:r>
      <w:r w:rsidR="002D7DF7" w:rsidRPr="002D7DF7">
        <w:rPr>
          <w:rFonts w:cs="Arial"/>
          <w:b/>
          <w:bCs/>
          <w:szCs w:val="20"/>
        </w:rPr>
        <w:t xml:space="preserve"> – </w:t>
      </w:r>
      <w:r w:rsidR="0053596C">
        <w:rPr>
          <w:rFonts w:cs="Arial"/>
          <w:b/>
          <w:bCs/>
          <w:szCs w:val="20"/>
        </w:rPr>
        <w:t>gdzie leży potencjał</w:t>
      </w:r>
    </w:p>
    <w:p w14:paraId="708524B8" w14:textId="40E4FBAD" w:rsidR="002D7DF7" w:rsidRDefault="002D7DF7" w:rsidP="008D654D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Eksperci zgodnie potwierdzili, że w zakresie wydajności istnieją spore rezerwy.</w:t>
      </w:r>
      <w:r w:rsidR="005839E6">
        <w:rPr>
          <w:rFonts w:cs="Arial"/>
          <w:bCs/>
          <w:szCs w:val="20"/>
        </w:rPr>
        <w:t xml:space="preserve"> P</w:t>
      </w:r>
      <w:r>
        <w:rPr>
          <w:rFonts w:cs="Arial"/>
          <w:bCs/>
          <w:szCs w:val="20"/>
        </w:rPr>
        <w:t xml:space="preserve">olskie budownictwo ma </w:t>
      </w:r>
      <w:r w:rsidR="001A1D15">
        <w:rPr>
          <w:rFonts w:cs="Arial"/>
          <w:bCs/>
          <w:szCs w:val="20"/>
        </w:rPr>
        <w:t>dużo</w:t>
      </w:r>
      <w:r>
        <w:rPr>
          <w:rFonts w:cs="Arial"/>
          <w:bCs/>
          <w:szCs w:val="20"/>
        </w:rPr>
        <w:t xml:space="preserve"> do nadrobienia w porównaniu choćby do tego, co dzieje się w przemyśle. </w:t>
      </w:r>
      <w:r w:rsidR="00A81374">
        <w:rPr>
          <w:rFonts w:cs="Arial"/>
          <w:bCs/>
          <w:szCs w:val="20"/>
        </w:rPr>
        <w:t>Praca nad </w:t>
      </w:r>
      <w:r w:rsidR="0064018A">
        <w:rPr>
          <w:rFonts w:cs="Arial"/>
          <w:bCs/>
          <w:szCs w:val="20"/>
        </w:rPr>
        <w:t>zwiększeniem wydajnoś</w:t>
      </w:r>
      <w:r w:rsidR="0053596C">
        <w:rPr>
          <w:rFonts w:cs="Arial"/>
          <w:bCs/>
          <w:szCs w:val="20"/>
        </w:rPr>
        <w:t>c</w:t>
      </w:r>
      <w:r w:rsidR="0064018A">
        <w:rPr>
          <w:rFonts w:cs="Arial"/>
          <w:bCs/>
          <w:szCs w:val="20"/>
        </w:rPr>
        <w:t>i wymaga przyjrzenia się procesowi budowlanemu w sposób kompleksowy, o</w:t>
      </w:r>
      <w:r w:rsidR="001A1D15">
        <w:rPr>
          <w:rFonts w:cs="Arial"/>
          <w:bCs/>
          <w:szCs w:val="20"/>
        </w:rPr>
        <w:t xml:space="preserve">d planowania, przez realizację, po zarządzanie obiektem. </w:t>
      </w:r>
      <w:r w:rsidR="0064018A">
        <w:rPr>
          <w:rFonts w:cs="Arial"/>
          <w:bCs/>
          <w:szCs w:val="20"/>
        </w:rPr>
        <w:t>Obszary, w których należy szukać szans na wyższą efekt</w:t>
      </w:r>
      <w:r w:rsidR="0053596C">
        <w:rPr>
          <w:rFonts w:cs="Arial"/>
          <w:bCs/>
          <w:szCs w:val="20"/>
        </w:rPr>
        <w:t>y</w:t>
      </w:r>
      <w:r w:rsidR="0064018A">
        <w:rPr>
          <w:rFonts w:cs="Arial"/>
          <w:bCs/>
          <w:szCs w:val="20"/>
        </w:rPr>
        <w:t>wność</w:t>
      </w:r>
      <w:r w:rsidR="005527EF">
        <w:rPr>
          <w:rFonts w:cs="Arial"/>
          <w:bCs/>
          <w:szCs w:val="20"/>
        </w:rPr>
        <w:t>,</w:t>
      </w:r>
      <w:r w:rsidR="0064018A">
        <w:rPr>
          <w:rFonts w:cs="Arial"/>
          <w:bCs/>
          <w:szCs w:val="20"/>
        </w:rPr>
        <w:t xml:space="preserve"> to ograniczenie wykorzystania dokumentów papier</w:t>
      </w:r>
      <w:r w:rsidR="002719A8">
        <w:rPr>
          <w:rFonts w:cs="Arial"/>
          <w:bCs/>
          <w:szCs w:val="20"/>
        </w:rPr>
        <w:t>owych, lepsza analiza danych</w:t>
      </w:r>
      <w:r w:rsidR="0064018A">
        <w:rPr>
          <w:rFonts w:cs="Arial"/>
          <w:bCs/>
          <w:szCs w:val="20"/>
        </w:rPr>
        <w:t>, szersze zastosowanie BIM</w:t>
      </w:r>
      <w:r w:rsidR="00D40A41">
        <w:rPr>
          <w:rFonts w:cs="Arial"/>
          <w:bCs/>
          <w:szCs w:val="20"/>
        </w:rPr>
        <w:t xml:space="preserve"> (</w:t>
      </w:r>
      <w:proofErr w:type="spellStart"/>
      <w:r w:rsidR="00930124">
        <w:rPr>
          <w:rFonts w:cs="Arial"/>
          <w:bCs/>
          <w:szCs w:val="20"/>
        </w:rPr>
        <w:t>B</w:t>
      </w:r>
      <w:r w:rsidR="00D40A41">
        <w:rPr>
          <w:rFonts w:cs="Arial"/>
          <w:bCs/>
          <w:szCs w:val="20"/>
        </w:rPr>
        <w:t>uilding</w:t>
      </w:r>
      <w:proofErr w:type="spellEnd"/>
      <w:r w:rsidR="00D40A41">
        <w:rPr>
          <w:rFonts w:cs="Arial"/>
          <w:bCs/>
          <w:szCs w:val="20"/>
        </w:rPr>
        <w:t xml:space="preserve"> </w:t>
      </w:r>
      <w:r w:rsidR="00930124">
        <w:rPr>
          <w:rFonts w:cs="Arial"/>
          <w:bCs/>
          <w:szCs w:val="20"/>
        </w:rPr>
        <w:t>I</w:t>
      </w:r>
      <w:r w:rsidR="00D40A41">
        <w:rPr>
          <w:rFonts w:cs="Arial"/>
          <w:bCs/>
          <w:szCs w:val="20"/>
        </w:rPr>
        <w:t xml:space="preserve">nformation </w:t>
      </w:r>
      <w:r w:rsidR="00930124">
        <w:rPr>
          <w:rFonts w:cs="Arial"/>
          <w:bCs/>
          <w:szCs w:val="20"/>
        </w:rPr>
        <w:t>M</w:t>
      </w:r>
      <w:r w:rsidR="00D40A41">
        <w:rPr>
          <w:rFonts w:cs="Arial"/>
          <w:bCs/>
          <w:szCs w:val="20"/>
        </w:rPr>
        <w:t>odeling)</w:t>
      </w:r>
      <w:r w:rsidR="0064018A">
        <w:rPr>
          <w:rFonts w:cs="Arial"/>
          <w:bCs/>
          <w:szCs w:val="20"/>
        </w:rPr>
        <w:t>, nowe materiały</w:t>
      </w:r>
      <w:r w:rsidR="00E90312">
        <w:rPr>
          <w:rFonts w:cs="Arial"/>
          <w:bCs/>
          <w:szCs w:val="20"/>
        </w:rPr>
        <w:t xml:space="preserve">, </w:t>
      </w:r>
      <w:r w:rsidR="00E90312">
        <w:rPr>
          <w:rFonts w:cs="Arial"/>
          <w:bCs/>
          <w:szCs w:val="20"/>
        </w:rPr>
        <w:lastRenderedPageBreak/>
        <w:t>a </w:t>
      </w:r>
      <w:r w:rsidR="0053596C">
        <w:rPr>
          <w:rFonts w:cs="Arial"/>
          <w:bCs/>
          <w:szCs w:val="20"/>
        </w:rPr>
        <w:t>także ściślejsza współpraca pomiędzy poszczególnymi podmiotami działającymi na rynku, zwłaszcza w fazie planowania inwestycji.</w:t>
      </w:r>
    </w:p>
    <w:p w14:paraId="55ED4C29" w14:textId="16743301" w:rsidR="0064018A" w:rsidRDefault="0064018A" w:rsidP="008D654D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53596C">
        <w:rPr>
          <w:rFonts w:cs="Arial"/>
          <w:b/>
          <w:bCs/>
          <w:szCs w:val="20"/>
        </w:rPr>
        <w:t>Minimalizacja, a może nawet całkowite wyeliminowanie dokumentów papierowych</w:t>
      </w:r>
      <w:r w:rsidR="00A81374">
        <w:rPr>
          <w:rFonts w:cs="Arial"/>
          <w:bCs/>
          <w:szCs w:val="20"/>
        </w:rPr>
        <w:t xml:space="preserve"> to jeden z </w:t>
      </w:r>
      <w:r>
        <w:rPr>
          <w:rFonts w:cs="Arial"/>
          <w:bCs/>
          <w:szCs w:val="20"/>
        </w:rPr>
        <w:t xml:space="preserve">najczęściej pojawiających się tematów. Przejście do dokumentów elektronicznych i automatyzacja </w:t>
      </w:r>
      <w:r w:rsidR="00930124" w:rsidRPr="00930124">
        <w:rPr>
          <w:rFonts w:cs="Arial"/>
          <w:bCs/>
          <w:szCs w:val="20"/>
        </w:rPr>
        <w:t xml:space="preserve">procesów </w:t>
      </w:r>
      <w:r w:rsidRPr="00930124">
        <w:rPr>
          <w:rFonts w:cs="Arial"/>
          <w:bCs/>
          <w:szCs w:val="20"/>
        </w:rPr>
        <w:t>wspierających przełoży się zarówno na wydajność, jak i jakość procesów.</w:t>
      </w:r>
      <w:r>
        <w:rPr>
          <w:rFonts w:cs="Arial"/>
          <w:bCs/>
          <w:szCs w:val="20"/>
        </w:rPr>
        <w:t xml:space="preserve"> </w:t>
      </w:r>
    </w:p>
    <w:p w14:paraId="23771D7C" w14:textId="6456EF28" w:rsidR="0053596C" w:rsidRDefault="0064018A" w:rsidP="008D654D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Kolejnym poważnym wyzwaniem jest </w:t>
      </w:r>
      <w:r w:rsidRPr="0053596C">
        <w:rPr>
          <w:rFonts w:cs="Arial"/>
          <w:b/>
          <w:bCs/>
          <w:szCs w:val="20"/>
        </w:rPr>
        <w:t>analiza danych</w:t>
      </w:r>
      <w:r>
        <w:rPr>
          <w:rFonts w:cs="Arial"/>
          <w:bCs/>
          <w:szCs w:val="20"/>
        </w:rPr>
        <w:t xml:space="preserve">. Firmy budowlane dysponują ogromnymi zasobami </w:t>
      </w:r>
      <w:r w:rsidR="00D40A41">
        <w:rPr>
          <w:rFonts w:cs="Arial"/>
          <w:bCs/>
          <w:szCs w:val="20"/>
        </w:rPr>
        <w:t>informacji</w:t>
      </w:r>
      <w:r>
        <w:rPr>
          <w:rFonts w:cs="Arial"/>
          <w:bCs/>
          <w:szCs w:val="20"/>
        </w:rPr>
        <w:t xml:space="preserve"> z</w:t>
      </w:r>
      <w:r w:rsidR="002719A8">
        <w:rPr>
          <w:rFonts w:cs="Arial"/>
          <w:bCs/>
          <w:szCs w:val="20"/>
        </w:rPr>
        <w:t>e</w:t>
      </w:r>
      <w:r>
        <w:rPr>
          <w:rFonts w:cs="Arial"/>
          <w:bCs/>
          <w:szCs w:val="20"/>
        </w:rPr>
        <w:t xml:space="preserve"> zrealizowanych projektów, natomiast rzadko służą one do wyciągania wniosków na przyszłość. </w:t>
      </w:r>
    </w:p>
    <w:p w14:paraId="1D71F89D" w14:textId="1BF3191D" w:rsidR="0064018A" w:rsidRDefault="0053596C" w:rsidP="008D654D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Eksperci podkreślają </w:t>
      </w:r>
      <w:r w:rsidRPr="005839E6">
        <w:rPr>
          <w:rFonts w:cs="Arial"/>
          <w:b/>
          <w:bCs/>
          <w:szCs w:val="20"/>
        </w:rPr>
        <w:t>wagę planowania</w:t>
      </w:r>
      <w:r>
        <w:rPr>
          <w:rFonts w:cs="Arial"/>
          <w:bCs/>
          <w:szCs w:val="20"/>
        </w:rPr>
        <w:t>. Dobre planowanie to cz</w:t>
      </w:r>
      <w:r w:rsidR="00A81374">
        <w:rPr>
          <w:rFonts w:cs="Arial"/>
          <w:bCs/>
          <w:szCs w:val="20"/>
        </w:rPr>
        <w:t>ynnik ekonomiczny, decydujący o </w:t>
      </w:r>
      <w:r>
        <w:rPr>
          <w:rFonts w:cs="Arial"/>
          <w:bCs/>
          <w:szCs w:val="20"/>
        </w:rPr>
        <w:t xml:space="preserve">sukcesie, bądź porażce inwestycji. Warto szukać kompromisu pomiędzy tempem realizacji a etapem przygotowania. Obecnie dużo większy nacisk kładzie się na fazę realizacji, a tylko równomierne rozłożenie uwagi na wszystkie etapy: od planowania po zarządzanie obiektem – są punktem wyjścia do wzrostu efektywności. </w:t>
      </w:r>
    </w:p>
    <w:p w14:paraId="7C7A7807" w14:textId="103E413F" w:rsidR="005839E6" w:rsidRDefault="005839E6" w:rsidP="005839E6">
      <w:pPr>
        <w:spacing w:line="360" w:lineRule="auto"/>
      </w:pPr>
      <w:r>
        <w:t xml:space="preserve">Przyszłość branży silnie </w:t>
      </w:r>
      <w:r w:rsidRPr="00546029">
        <w:rPr>
          <w:b/>
        </w:rPr>
        <w:t>zdeterminuje postęp technologiczny, szczególnie w zakresie rozwiązań IT</w:t>
      </w:r>
      <w:r>
        <w:t>. Obserwujemy błyskawiczny rozwó</w:t>
      </w:r>
      <w:r w:rsidR="006B3B38">
        <w:t xml:space="preserve">j technologii informatycznych. </w:t>
      </w:r>
      <w:r>
        <w:t xml:space="preserve">Niewiadomą pozostaje jednak, które z nich znajdą szerokie zastosowanie w branży? </w:t>
      </w:r>
      <w:r w:rsidR="005527EF">
        <w:t>L</w:t>
      </w:r>
      <w:r>
        <w:t xml:space="preserve">iderzy </w:t>
      </w:r>
      <w:r w:rsidR="005527EF">
        <w:t xml:space="preserve">jednomyślnie </w:t>
      </w:r>
      <w:r>
        <w:t xml:space="preserve">twierdzą, że te ułatwiające komunikację oraz wspierające planowanie i optymalizację procesów na pewno odegrają decydującą rolę. </w:t>
      </w:r>
    </w:p>
    <w:p w14:paraId="2A980983" w14:textId="040FA7A0" w:rsidR="002A0335" w:rsidRPr="002A0335" w:rsidRDefault="002A0335" w:rsidP="002A0335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2A0335">
        <w:rPr>
          <w:rFonts w:cs="Arial"/>
          <w:bCs/>
          <w:szCs w:val="20"/>
        </w:rPr>
        <w:t xml:space="preserve">W zakresie fazy projektowania branża wprowadza modelowanie informacji o obiekcie (BIM). Niewątpliwie koncepcja ta będzie się prężnie rozwijała w kolejnych latach w kierunku zwiększania szczegółowości i parametryzacji. Pełne wykorzystanie </w:t>
      </w:r>
      <w:r w:rsidRPr="005839E6">
        <w:rPr>
          <w:rFonts w:cs="Arial"/>
          <w:b/>
          <w:bCs/>
          <w:szCs w:val="20"/>
        </w:rPr>
        <w:t>BIM da olbrzymie pole do optymalizacji</w:t>
      </w:r>
      <w:r w:rsidR="00A81374">
        <w:rPr>
          <w:rFonts w:cs="Arial"/>
          <w:bCs/>
          <w:szCs w:val="20"/>
        </w:rPr>
        <w:t xml:space="preserve"> – od </w:t>
      </w:r>
      <w:r w:rsidRPr="002A0335">
        <w:rPr>
          <w:rFonts w:cs="Arial"/>
          <w:bCs/>
          <w:szCs w:val="20"/>
        </w:rPr>
        <w:t>wyceny, przez harmonogram, identyfikację kolizji, logistyk</w:t>
      </w:r>
      <w:r w:rsidR="00E90312">
        <w:rPr>
          <w:rFonts w:cs="Arial"/>
          <w:bCs/>
          <w:szCs w:val="20"/>
        </w:rPr>
        <w:t>ę dostaw, całą realizację aż </w:t>
      </w:r>
      <w:r w:rsidR="006E3286">
        <w:rPr>
          <w:rFonts w:cs="Arial"/>
          <w:bCs/>
          <w:szCs w:val="20"/>
        </w:rPr>
        <w:t>po </w:t>
      </w:r>
      <w:r w:rsidRPr="002A0335">
        <w:rPr>
          <w:rFonts w:cs="Arial"/>
          <w:bCs/>
          <w:szCs w:val="20"/>
        </w:rPr>
        <w:t>eksploatację obiektu. Przyszłość to także określenie standardów w zak</w:t>
      </w:r>
      <w:r w:rsidR="00A81374">
        <w:rPr>
          <w:rFonts w:cs="Arial"/>
          <w:bCs/>
          <w:szCs w:val="20"/>
        </w:rPr>
        <w:t>resie wymiany informacji, ale i </w:t>
      </w:r>
      <w:r w:rsidRPr="002A0335">
        <w:rPr>
          <w:rFonts w:cs="Arial"/>
          <w:bCs/>
          <w:szCs w:val="20"/>
        </w:rPr>
        <w:t xml:space="preserve">odpowiedzialności za te dane. Ważne, żeby dokumentacja </w:t>
      </w:r>
      <w:r w:rsidR="00D40A41">
        <w:rPr>
          <w:rFonts w:cs="Arial"/>
          <w:bCs/>
          <w:szCs w:val="20"/>
        </w:rPr>
        <w:t xml:space="preserve">(w tym model 3d) </w:t>
      </w:r>
      <w:r w:rsidRPr="002A0335">
        <w:rPr>
          <w:rFonts w:cs="Arial"/>
          <w:bCs/>
          <w:szCs w:val="20"/>
        </w:rPr>
        <w:t>stworzona na etapie projektowania funkcjonowała również w fazie realizacji</w:t>
      </w:r>
      <w:r w:rsidR="00044A7D">
        <w:rPr>
          <w:rFonts w:cs="Arial"/>
          <w:bCs/>
          <w:szCs w:val="20"/>
        </w:rPr>
        <w:t>,</w:t>
      </w:r>
      <w:r w:rsidR="00D40A41">
        <w:rPr>
          <w:rFonts w:cs="Arial"/>
          <w:bCs/>
          <w:szCs w:val="20"/>
        </w:rPr>
        <w:t xml:space="preserve"> a na</w:t>
      </w:r>
      <w:r w:rsidR="00E90312">
        <w:rPr>
          <w:rFonts w:cs="Arial"/>
          <w:bCs/>
          <w:szCs w:val="20"/>
        </w:rPr>
        <w:t>stępnie była punktem wyjścia do </w:t>
      </w:r>
      <w:r w:rsidR="00D40A41">
        <w:rPr>
          <w:rFonts w:cs="Arial"/>
          <w:bCs/>
          <w:szCs w:val="20"/>
        </w:rPr>
        <w:t>stworzenia cyfrowej bazy danych o obiekcie i ułatwiała zarządzanie nim</w:t>
      </w:r>
      <w:r w:rsidRPr="002A0335">
        <w:rPr>
          <w:rFonts w:cs="Arial"/>
          <w:bCs/>
          <w:szCs w:val="20"/>
        </w:rPr>
        <w:t xml:space="preserve">. </w:t>
      </w:r>
    </w:p>
    <w:p w14:paraId="7E1A9F44" w14:textId="7621BEEC" w:rsidR="005839E6" w:rsidRDefault="005839E6" w:rsidP="005839E6">
      <w:pPr>
        <w:spacing w:before="100" w:beforeAutospacing="1" w:after="100" w:afterAutospacing="1" w:line="360" w:lineRule="auto"/>
      </w:pPr>
      <w:r>
        <w:t xml:space="preserve">Odpowiedzią na obecne wyzwania rynku pracy będzie częściowa </w:t>
      </w:r>
      <w:r w:rsidRPr="00546029">
        <w:rPr>
          <w:b/>
        </w:rPr>
        <w:t>automatyzacja procesów budowlanych</w:t>
      </w:r>
      <w:r>
        <w:t xml:space="preserve"> – już teraz na polskich budowach zaczyna się stosować maszyny, które częściowo zastępują pracę ludzką. Ten kierunek z pewnością zostanie utrzymany, choć </w:t>
      </w:r>
      <w:r w:rsidR="005527EF">
        <w:t xml:space="preserve">- </w:t>
      </w:r>
      <w:r>
        <w:t>jak zaznaczono</w:t>
      </w:r>
      <w:r w:rsidR="005527EF">
        <w:t xml:space="preserve"> - </w:t>
      </w:r>
      <w:r>
        <w:t>nigdy nie nastąpi całkowita eliminacja ludzkie</w:t>
      </w:r>
      <w:r w:rsidR="005527EF">
        <w:t>j pracy</w:t>
      </w:r>
      <w:r>
        <w:t xml:space="preserve"> w procesie realizacji. Niemniej sprzęt budowlany, wzbogacony o różnego rodzaju oprogramowanie</w:t>
      </w:r>
      <w:r w:rsidR="005527EF">
        <w:t>,</w:t>
      </w:r>
      <w:r>
        <w:t xml:space="preserve"> stanie się łatwiejszy w</w:t>
      </w:r>
      <w:r w:rsidR="00A81374">
        <w:t xml:space="preserve"> obsłudze, </w:t>
      </w:r>
      <w:proofErr w:type="gramStart"/>
      <w:r w:rsidR="00A81374">
        <w:t>precyzyjniejszy – co</w:t>
      </w:r>
      <w:proofErr w:type="gramEnd"/>
      <w:r w:rsidR="00A81374">
        <w:t> </w:t>
      </w:r>
      <w:r>
        <w:t>w konsekwencji przełoży się na jakość i szybsze tempo realizacji poszczególnych</w:t>
      </w:r>
      <w:r w:rsidR="00D40A41">
        <w:t xml:space="preserve"> robót</w:t>
      </w:r>
      <w:r>
        <w:t xml:space="preserve">. </w:t>
      </w:r>
    </w:p>
    <w:p w14:paraId="23E05F27" w14:textId="6C528BB8" w:rsidR="00546029" w:rsidRDefault="0071401B" w:rsidP="00546029">
      <w:pPr>
        <w:spacing w:line="360" w:lineRule="auto"/>
      </w:pPr>
      <w:r w:rsidRPr="0071401B">
        <w:rPr>
          <w:rFonts w:cs="Arial"/>
          <w:bCs/>
          <w:szCs w:val="20"/>
        </w:rPr>
        <w:lastRenderedPageBreak/>
        <w:t>W zakresie wzrostu efektywności oczekuje się też nowych rozwiązań materiałowych</w:t>
      </w:r>
      <w:r w:rsidR="00A81374">
        <w:rPr>
          <w:rFonts w:cs="Arial"/>
          <w:bCs/>
          <w:szCs w:val="20"/>
        </w:rPr>
        <w:t xml:space="preserve"> i </w:t>
      </w:r>
      <w:r w:rsidRPr="0071401B">
        <w:rPr>
          <w:rFonts w:cs="Arial"/>
          <w:bCs/>
          <w:szCs w:val="20"/>
        </w:rPr>
        <w:t xml:space="preserve">technologicznych ograniczających pracę ludzką oraz wpływających na skrócenie okresu wykonawstwa. </w:t>
      </w:r>
      <w:r w:rsidR="005839E6">
        <w:rPr>
          <w:rFonts w:cs="Arial"/>
          <w:bCs/>
          <w:szCs w:val="20"/>
        </w:rPr>
        <w:t>W tym k</w:t>
      </w:r>
      <w:r w:rsidR="00546029">
        <w:rPr>
          <w:rFonts w:cs="Arial"/>
          <w:bCs/>
          <w:szCs w:val="20"/>
        </w:rPr>
        <w:t xml:space="preserve">ontekście pojawia się również </w:t>
      </w:r>
      <w:r w:rsidR="00546029" w:rsidRPr="005839E6">
        <w:rPr>
          <w:rFonts w:cs="Arial"/>
          <w:b/>
          <w:bCs/>
          <w:szCs w:val="20"/>
        </w:rPr>
        <w:t>prefabrykacja</w:t>
      </w:r>
      <w:r w:rsidR="00546029">
        <w:rPr>
          <w:rFonts w:cs="Arial"/>
          <w:bCs/>
          <w:szCs w:val="20"/>
        </w:rPr>
        <w:t xml:space="preserve">. </w:t>
      </w:r>
      <w:r w:rsidR="00546029" w:rsidRPr="00CB4898">
        <w:t>Liderzy, którzy upatrują szans szerokiego wykorzystania prefabrykacji</w:t>
      </w:r>
      <w:r w:rsidR="005527EF">
        <w:t>,</w:t>
      </w:r>
      <w:r w:rsidR="00546029" w:rsidRPr="00CB4898">
        <w:t xml:space="preserve"> zwracali uwagę na wysoką optymal</w:t>
      </w:r>
      <w:r w:rsidR="00E90312">
        <w:t>izację kosztową i </w:t>
      </w:r>
      <w:r w:rsidR="00546029" w:rsidRPr="00CB4898">
        <w:t xml:space="preserve">czasową, produkcję </w:t>
      </w:r>
      <w:proofErr w:type="spellStart"/>
      <w:r w:rsidR="00546029" w:rsidRPr="00930124">
        <w:rPr>
          <w:i/>
        </w:rPr>
        <w:t>just</w:t>
      </w:r>
      <w:proofErr w:type="spellEnd"/>
      <w:r w:rsidR="00546029" w:rsidRPr="00930124">
        <w:rPr>
          <w:i/>
        </w:rPr>
        <w:t xml:space="preserve"> in </w:t>
      </w:r>
      <w:proofErr w:type="spellStart"/>
      <w:r w:rsidR="00546029" w:rsidRPr="00930124">
        <w:rPr>
          <w:i/>
        </w:rPr>
        <w:t>time</w:t>
      </w:r>
      <w:proofErr w:type="spellEnd"/>
      <w:r w:rsidR="00546029" w:rsidRPr="00930124">
        <w:rPr>
          <w:i/>
        </w:rPr>
        <w:t xml:space="preserve"> </w:t>
      </w:r>
      <w:proofErr w:type="spellStart"/>
      <w:r w:rsidR="00546029" w:rsidRPr="00930124">
        <w:rPr>
          <w:i/>
        </w:rPr>
        <w:t>delivery</w:t>
      </w:r>
      <w:proofErr w:type="spellEnd"/>
      <w:r w:rsidR="00546029">
        <w:t>, możliwość efektywniej</w:t>
      </w:r>
      <w:r w:rsidR="00E90312">
        <w:t>szego zarządzania realizacją. W </w:t>
      </w:r>
      <w:r w:rsidR="00546029">
        <w:t xml:space="preserve">obliczu niewystarczającej liczby pracowników budowlanych na rynku rozwiązanie to wydaje się niemal idealne. Brakuje jednak otwartości na ten typ budownictwa. </w:t>
      </w:r>
    </w:p>
    <w:p w14:paraId="19E7E1C9" w14:textId="30FDBB74" w:rsidR="002D7DF7" w:rsidRPr="0053596C" w:rsidRDefault="0053596C" w:rsidP="008D654D">
      <w:pPr>
        <w:spacing w:before="100" w:beforeAutospacing="1" w:after="100" w:afterAutospacing="1" w:line="360" w:lineRule="auto"/>
        <w:rPr>
          <w:rFonts w:cs="Arial"/>
          <w:b/>
          <w:bCs/>
          <w:szCs w:val="20"/>
        </w:rPr>
      </w:pPr>
      <w:proofErr w:type="gramStart"/>
      <w:r w:rsidRPr="0053596C">
        <w:rPr>
          <w:rFonts w:cs="Arial"/>
          <w:b/>
          <w:bCs/>
          <w:szCs w:val="20"/>
        </w:rPr>
        <w:t>Innowacje – jakie</w:t>
      </w:r>
      <w:proofErr w:type="gramEnd"/>
      <w:r w:rsidRPr="0053596C">
        <w:rPr>
          <w:rFonts w:cs="Arial"/>
          <w:b/>
          <w:bCs/>
          <w:szCs w:val="20"/>
        </w:rPr>
        <w:t xml:space="preserve"> i gdzie</w:t>
      </w:r>
    </w:p>
    <w:p w14:paraId="70DA3D27" w14:textId="5AFF857E" w:rsidR="0071401B" w:rsidRDefault="002A0335" w:rsidP="0071401B">
      <w:pPr>
        <w:spacing w:before="100" w:beforeAutospacing="1" w:after="100" w:afterAutospacing="1" w:line="360" w:lineRule="auto"/>
      </w:pPr>
      <w:r w:rsidRPr="00CB4898">
        <w:t xml:space="preserve">Podejście polskiego budownictwa do innowacji jest zróżnicowane, mocno uzależnione od pozycji rynkowej. Branża budowlana z dużą otwartością patrzy na innowacje, w mniejszym stopniu je wykorzystuje. </w:t>
      </w:r>
      <w:r w:rsidR="00A42878">
        <w:t xml:space="preserve">Najbardziej </w:t>
      </w:r>
      <w:r w:rsidR="00A42878" w:rsidRPr="00546029">
        <w:rPr>
          <w:b/>
        </w:rPr>
        <w:t xml:space="preserve">otwartą postawę wobec nowoczesnych </w:t>
      </w:r>
      <w:r w:rsidRPr="00546029">
        <w:rPr>
          <w:b/>
        </w:rPr>
        <w:t>rozwiązań</w:t>
      </w:r>
      <w:r w:rsidR="00A42878" w:rsidRPr="00546029">
        <w:rPr>
          <w:b/>
        </w:rPr>
        <w:t xml:space="preserve"> prezentują </w:t>
      </w:r>
      <w:proofErr w:type="gramStart"/>
      <w:r w:rsidR="00A42878" w:rsidRPr="00546029">
        <w:rPr>
          <w:b/>
        </w:rPr>
        <w:t>najwięksi</w:t>
      </w:r>
      <w:r w:rsidRPr="00CB4898">
        <w:t xml:space="preserve"> – choć</w:t>
      </w:r>
      <w:proofErr w:type="gramEnd"/>
      <w:r w:rsidR="005527EF">
        <w:t>,</w:t>
      </w:r>
      <w:r w:rsidRPr="00CB4898">
        <w:t xml:space="preserve"> zgodnie z opiniami, nawet </w:t>
      </w:r>
      <w:r w:rsidR="00A42878">
        <w:t xml:space="preserve">te firmy </w:t>
      </w:r>
      <w:r w:rsidRPr="00CB4898">
        <w:t xml:space="preserve">obecnie podchodzą do </w:t>
      </w:r>
      <w:r w:rsidR="00A42878">
        <w:t xml:space="preserve">innowacji </w:t>
      </w:r>
      <w:r w:rsidRPr="00CB4898">
        <w:t xml:space="preserve">selektywnie. </w:t>
      </w:r>
      <w:r w:rsidR="00A42878">
        <w:t>P</w:t>
      </w:r>
      <w:r w:rsidR="00306BD7">
        <w:t xml:space="preserve">anuje powszechne przekonanie, że jeżeli liderzy zaczną działać innowacyjnie, szeroko wykorzystywać nowe technologie, poprawiać swoją efektywność, w ślad za nimi pójdą kolejni. </w:t>
      </w:r>
      <w:r w:rsidR="0071401B" w:rsidRPr="00CB4898">
        <w:t>Z całą pewnością polskie budown</w:t>
      </w:r>
      <w:r w:rsidR="00890E39">
        <w:t>ictwo jest na etapie testowania</w:t>
      </w:r>
      <w:r w:rsidR="0071401B" w:rsidRPr="00CB4898">
        <w:t xml:space="preserve">. Branża dojrzewa do zmiany podejścia, </w:t>
      </w:r>
      <w:r w:rsidR="00546029">
        <w:t>niemniej i</w:t>
      </w:r>
      <w:r w:rsidR="0071401B" w:rsidRPr="00CB4898">
        <w:t>ntensywny proces a</w:t>
      </w:r>
      <w:r w:rsidR="005527EF">
        <w:t xml:space="preserve">dopcji </w:t>
      </w:r>
      <w:r w:rsidR="0071401B" w:rsidRPr="00CB4898">
        <w:t>technologii to dla budownictwa duże wyzwanie.</w:t>
      </w:r>
    </w:p>
    <w:p w14:paraId="374108FC" w14:textId="0A45D90E" w:rsidR="00A81374" w:rsidRPr="00B63236" w:rsidRDefault="00A81374" w:rsidP="00A81374">
      <w:pPr>
        <w:spacing w:before="100" w:beforeAutospacing="1" w:after="100" w:afterAutospacing="1" w:line="360" w:lineRule="auto"/>
        <w:rPr>
          <w:rFonts w:cs="Arial"/>
          <w:bCs/>
          <w:szCs w:val="20"/>
          <w:highlight w:val="yellow"/>
        </w:rPr>
      </w:pPr>
      <w:r w:rsidRPr="005839E6">
        <w:rPr>
          <w:rFonts w:cs="Arial"/>
          <w:b/>
          <w:bCs/>
          <w:szCs w:val="20"/>
        </w:rPr>
        <w:t>Co powstrzymuje zmiany?</w:t>
      </w:r>
      <w:r>
        <w:rPr>
          <w:rFonts w:cs="Arial"/>
          <w:bCs/>
          <w:szCs w:val="20"/>
        </w:rPr>
        <w:t xml:space="preserve"> Przede wszystkim</w:t>
      </w:r>
      <w:r w:rsidRPr="0071401B">
        <w:rPr>
          <w:rFonts w:cs="Arial"/>
          <w:bCs/>
          <w:szCs w:val="20"/>
        </w:rPr>
        <w:t xml:space="preserve"> zwrócono uwagę na konserwatywne podejście biznesowe branży. Uczest</w:t>
      </w:r>
      <w:r>
        <w:rPr>
          <w:rFonts w:cs="Arial"/>
          <w:bCs/>
          <w:szCs w:val="20"/>
        </w:rPr>
        <w:t>nicy rynku są mało elastyczni w </w:t>
      </w:r>
      <w:r w:rsidRPr="0071401B">
        <w:rPr>
          <w:rFonts w:cs="Arial"/>
          <w:bCs/>
          <w:szCs w:val="20"/>
        </w:rPr>
        <w:t xml:space="preserve">zakresie poszukiwania nowych, potencjalnych obszarów działalności, rynków zbytu czy modeli współpracy. </w:t>
      </w:r>
      <w:r w:rsidRPr="005839E6">
        <w:rPr>
          <w:rFonts w:cs="Arial"/>
          <w:bCs/>
          <w:szCs w:val="20"/>
        </w:rPr>
        <w:t>Barierą jest również poziom przygotowania zawodowego specjalistów. Dla wielu</w:t>
      </w:r>
      <w:r w:rsidR="005527EF">
        <w:rPr>
          <w:rFonts w:cs="Arial"/>
          <w:bCs/>
          <w:szCs w:val="20"/>
        </w:rPr>
        <w:t>,</w:t>
      </w:r>
      <w:r w:rsidRPr="005839E6">
        <w:rPr>
          <w:rFonts w:cs="Arial"/>
          <w:bCs/>
          <w:szCs w:val="20"/>
        </w:rPr>
        <w:t xml:space="preserve"> szczególnie mniejszych</w:t>
      </w:r>
      <w:r w:rsidR="005527EF">
        <w:rPr>
          <w:rFonts w:cs="Arial"/>
          <w:bCs/>
          <w:szCs w:val="20"/>
        </w:rPr>
        <w:t>,</w:t>
      </w:r>
      <w:r w:rsidRPr="005839E6">
        <w:rPr>
          <w:rFonts w:cs="Arial"/>
          <w:bCs/>
          <w:szCs w:val="20"/>
        </w:rPr>
        <w:t xml:space="preserve"> uczestników rynku kwestia wdrożenia innowacji to również zbyt duże obciążenie. </w:t>
      </w:r>
    </w:p>
    <w:p w14:paraId="55028F20" w14:textId="77777777" w:rsidR="00A81374" w:rsidRDefault="00A81374" w:rsidP="00A81374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 w:rsidRPr="005839E6">
        <w:rPr>
          <w:rFonts w:cs="Arial"/>
          <w:bCs/>
          <w:szCs w:val="20"/>
        </w:rPr>
        <w:t>W kontekście cyfryzacji branży ogromnym wyzwaniem jest kwestia bezpieczeństwa danych – branża musi się do niego przygotować.</w:t>
      </w:r>
      <w:r w:rsidRPr="00B63236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Duże znaczenie mają rozwiązania prawne, które powinny wspierać stosowanie nowych technologii.</w:t>
      </w:r>
    </w:p>
    <w:p w14:paraId="72FCAC57" w14:textId="30E3E9EB" w:rsidR="0004357A" w:rsidRDefault="0004357A" w:rsidP="00A81374">
      <w:pPr>
        <w:spacing w:before="100" w:beforeAutospacing="1" w:after="100" w:afterAutospacing="1" w:line="360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Przyszłość polskiego budownictwa, BIM w Polsce i innowacje technologiczne będą tematem konferencji BIM Day 2019 – cyfrowa budowa, 15 października w </w:t>
      </w:r>
      <w:r w:rsidR="00E90312">
        <w:rPr>
          <w:rFonts w:cs="Arial"/>
          <w:bCs/>
          <w:szCs w:val="20"/>
        </w:rPr>
        <w:t>Warszawie. Więcej informacji na </w:t>
      </w:r>
      <w:r>
        <w:rPr>
          <w:rFonts w:cs="Arial"/>
          <w:bCs/>
          <w:szCs w:val="20"/>
        </w:rPr>
        <w:t xml:space="preserve">stronie </w:t>
      </w:r>
      <w:hyperlink r:id="rId9" w:history="1">
        <w:r w:rsidRPr="0023143F">
          <w:rPr>
            <w:rStyle w:val="Hipercze"/>
            <w:rFonts w:cs="Arial"/>
            <w:bCs/>
            <w:szCs w:val="20"/>
          </w:rPr>
          <w:t>www.autodesk.pl/bimday2019</w:t>
        </w:r>
      </w:hyperlink>
    </w:p>
    <w:p w14:paraId="2E76A33E" w14:textId="77777777" w:rsidR="008D654D" w:rsidRDefault="008D654D" w:rsidP="008D654D"/>
    <w:p w14:paraId="674606F7" w14:textId="668E8C16" w:rsidR="0071401B" w:rsidRPr="00B63236" w:rsidRDefault="00B63236" w:rsidP="00B63236">
      <w:pPr>
        <w:spacing w:after="120" w:line="360" w:lineRule="auto"/>
        <w:rPr>
          <w:rFonts w:cs="Arial"/>
          <w:b/>
          <w:szCs w:val="20"/>
        </w:rPr>
      </w:pPr>
      <w:r w:rsidRPr="00B63236">
        <w:rPr>
          <w:rFonts w:cs="Arial"/>
          <w:b/>
          <w:szCs w:val="20"/>
        </w:rPr>
        <w:t xml:space="preserve">Informacje o raporcie </w:t>
      </w:r>
    </w:p>
    <w:p w14:paraId="04861491" w14:textId="1927FCE4" w:rsidR="0071401B" w:rsidRPr="00B63236" w:rsidRDefault="0071401B" w:rsidP="00B63236">
      <w:pPr>
        <w:spacing w:after="120" w:line="360" w:lineRule="auto"/>
        <w:rPr>
          <w:rFonts w:cs="Arial"/>
          <w:szCs w:val="20"/>
        </w:rPr>
      </w:pPr>
      <w:r w:rsidRPr="00B63236">
        <w:rPr>
          <w:rFonts w:cs="Arial"/>
          <w:szCs w:val="20"/>
        </w:rPr>
        <w:t xml:space="preserve">Raport pn. Budownictwo. Innowacje. Wizja liderów branży. 2025. </w:t>
      </w:r>
      <w:proofErr w:type="gramStart"/>
      <w:r w:rsidRPr="00B63236">
        <w:rPr>
          <w:rFonts w:cs="Arial"/>
          <w:szCs w:val="20"/>
        </w:rPr>
        <w:t>został</w:t>
      </w:r>
      <w:proofErr w:type="gramEnd"/>
      <w:r w:rsidRPr="00B63236">
        <w:rPr>
          <w:rFonts w:cs="Arial"/>
          <w:szCs w:val="20"/>
        </w:rPr>
        <w:t xml:space="preserve"> przygotowany przez ASM Centrum Badań i Analiz Rynku na zlecenie </w:t>
      </w:r>
      <w:proofErr w:type="spellStart"/>
      <w:r w:rsidRPr="00B63236">
        <w:rPr>
          <w:rFonts w:cs="Arial"/>
          <w:szCs w:val="20"/>
        </w:rPr>
        <w:t>Autodesk</w:t>
      </w:r>
      <w:proofErr w:type="spellEnd"/>
      <w:r w:rsidRPr="00B63236">
        <w:rPr>
          <w:rFonts w:cs="Arial"/>
          <w:szCs w:val="20"/>
        </w:rPr>
        <w:t>. W jego ramach przeprowadzono 19 indywidualnych, pogłębionych wywiadów jakościowych z liderami polskiej branży ar</w:t>
      </w:r>
      <w:r w:rsidR="00A81374">
        <w:rPr>
          <w:rFonts w:cs="Arial"/>
          <w:szCs w:val="20"/>
        </w:rPr>
        <w:t>chitektonicznej i </w:t>
      </w:r>
      <w:r w:rsidRPr="00B63236">
        <w:rPr>
          <w:rFonts w:cs="Arial"/>
          <w:szCs w:val="20"/>
        </w:rPr>
        <w:t xml:space="preserve">budowlanej. Do udziału w projekcie zaproszono przedstawicieli kadry zarządzającej największych biur projektowych, renomowanych pracowni architektonicznych, największych deweloperów </w:t>
      </w:r>
      <w:r w:rsidRPr="00B63236">
        <w:rPr>
          <w:rFonts w:cs="Arial"/>
          <w:szCs w:val="20"/>
        </w:rPr>
        <w:lastRenderedPageBreak/>
        <w:t>i</w:t>
      </w:r>
      <w:r w:rsidR="00E90312">
        <w:rPr>
          <w:rFonts w:cs="Arial"/>
          <w:szCs w:val="20"/>
        </w:rPr>
        <w:t> </w:t>
      </w:r>
      <w:r w:rsidRPr="00B63236">
        <w:rPr>
          <w:rFonts w:cs="Arial"/>
          <w:szCs w:val="20"/>
        </w:rPr>
        <w:t xml:space="preserve">generalnych wykonawców działających na polskim rynku. </w:t>
      </w:r>
      <w:r w:rsidR="00A81374">
        <w:rPr>
          <w:rFonts w:cs="Arial"/>
          <w:szCs w:val="20"/>
        </w:rPr>
        <w:t xml:space="preserve">Patronat nad raportem objęły </w:t>
      </w:r>
      <w:r w:rsidR="006B3B38">
        <w:rPr>
          <w:rFonts w:cs="Arial"/>
          <w:szCs w:val="20"/>
        </w:rPr>
        <w:t xml:space="preserve">Polski Związek Firm Deweloperskich, Polski Związek Inżynierów i Techników Budownictwa, Polski Związek Pracodawców Budownictwa, Stowarzyszenie Architektów Polskich SARP. </w:t>
      </w:r>
      <w:r w:rsidR="00A81374">
        <w:rPr>
          <w:rFonts w:cs="Arial"/>
          <w:szCs w:val="20"/>
        </w:rPr>
        <w:t xml:space="preserve">Pełna wersja do pobrania ze strony </w:t>
      </w:r>
      <w:hyperlink w:history="1"/>
      <w:r w:rsidR="00930124">
        <w:rPr>
          <w:rFonts w:cs="Arial"/>
          <w:szCs w:val="20"/>
        </w:rPr>
        <w:t xml:space="preserve"> </w:t>
      </w:r>
      <w:hyperlink r:id="rId10" w:history="1">
        <w:r w:rsidR="007C622E">
          <w:rPr>
            <w:rStyle w:val="Hipercze"/>
            <w:rFonts w:cs="Arial"/>
            <w:color w:val="005FB2"/>
            <w:sz w:val="21"/>
            <w:szCs w:val="21"/>
            <w:shd w:val="clear" w:color="auto" w:fill="FFFFFF"/>
          </w:rPr>
          <w:t>http://autodesk.pl/campaigns/aec/</w:t>
        </w:r>
        <w:proofErr w:type="gramStart"/>
        <w:r w:rsidR="007C622E">
          <w:rPr>
            <w:rStyle w:val="Hipercze"/>
            <w:rFonts w:cs="Arial"/>
            <w:color w:val="005FB2"/>
            <w:sz w:val="21"/>
            <w:szCs w:val="21"/>
            <w:shd w:val="clear" w:color="auto" w:fill="FFFFFF"/>
          </w:rPr>
          <w:t>wizja-liderow-2025</w:t>
        </w:r>
      </w:hyperlink>
      <w:r w:rsidR="007C622E">
        <w:t xml:space="preserve"> </w:t>
      </w:r>
      <w:r w:rsidR="007C622E">
        <w:rPr>
          <w:rFonts w:cs="Arial"/>
          <w:bCs/>
          <w:szCs w:val="20"/>
          <w:highlight w:val="yellow"/>
        </w:rPr>
        <w:t xml:space="preserve"> </w:t>
      </w:r>
      <w:r w:rsidR="00016E14">
        <w:rPr>
          <w:rStyle w:val="Hipercze"/>
          <w:rFonts w:cs="Arial"/>
          <w:color w:val="006DCC"/>
          <w:szCs w:val="20"/>
          <w:shd w:val="clear" w:color="auto" w:fill="FFFFFF"/>
        </w:rPr>
        <w:fldChar w:fldCharType="begin"/>
      </w:r>
      <w:r w:rsidR="00016E14">
        <w:rPr>
          <w:rStyle w:val="Hipercze"/>
          <w:rFonts w:cs="Arial"/>
          <w:color w:val="006DCC"/>
          <w:szCs w:val="20"/>
          <w:shd w:val="clear" w:color="auto" w:fill="FFFFFF"/>
        </w:rPr>
        <w:instrText xml:space="preserve"> HYPERLINK "http://autodesk.pl/campaigns/aec/wizja-liderow-2025?mktvar002=1068510&amp;utm_medium=mngd-referral&amp;utm_sou</w:instrText>
      </w:r>
      <w:proofErr w:type="gramEnd"/>
      <w:r w:rsidR="00016E14">
        <w:rPr>
          <w:rStyle w:val="Hipercze"/>
          <w:rFonts w:cs="Arial"/>
          <w:color w:val="006DCC"/>
          <w:szCs w:val="20"/>
          <w:shd w:val="clear" w:color="auto" w:fill="FFFFFF"/>
        </w:rPr>
        <w:instrText xml:space="preserve">rce=industry-partner&amp;utm_campaign=emea-aec-fy20abmaecleadersreport&amp;utm_id=1068510" \t "_blank" </w:instrText>
      </w:r>
      <w:r w:rsidR="00016E14">
        <w:rPr>
          <w:rStyle w:val="Hipercze"/>
          <w:rFonts w:cs="Arial"/>
          <w:color w:val="006DCC"/>
          <w:szCs w:val="20"/>
          <w:shd w:val="clear" w:color="auto" w:fill="FFFFFF"/>
        </w:rPr>
        <w:fldChar w:fldCharType="separate"/>
      </w:r>
      <w:r w:rsidR="007C622E">
        <w:rPr>
          <w:rStyle w:val="Hipercze"/>
          <w:rFonts w:cs="Arial"/>
          <w:color w:val="006DCC"/>
          <w:szCs w:val="20"/>
          <w:shd w:val="clear" w:color="auto" w:fill="FFFFFF"/>
        </w:rPr>
        <w:t>http://autodesk.pl/campaigns/aec/wizja-liderow-2025?mktvar002=1068510&amp;utm_medium=mngd-referral&amp;utm_source=industry-partner&amp;utm_campaign=emea-aec-fy20abmaecleadersreport&amp;utm_id=1068510</w:t>
      </w:r>
      <w:r w:rsidR="00016E14">
        <w:rPr>
          <w:rStyle w:val="Hipercze"/>
          <w:rFonts w:cs="Arial"/>
          <w:color w:val="006DCC"/>
          <w:szCs w:val="20"/>
          <w:shd w:val="clear" w:color="auto" w:fill="FFFFFF"/>
        </w:rPr>
        <w:fldChar w:fldCharType="end"/>
      </w:r>
    </w:p>
    <w:p w14:paraId="63CBC463" w14:textId="77777777" w:rsidR="00557B33" w:rsidRPr="006049B9" w:rsidRDefault="00557B33" w:rsidP="00F93BB3">
      <w:pPr>
        <w:spacing w:line="360" w:lineRule="auto"/>
        <w:jc w:val="both"/>
        <w:rPr>
          <w:rFonts w:cs="Arial"/>
          <w:b/>
          <w:szCs w:val="20"/>
        </w:rPr>
      </w:pPr>
    </w:p>
    <w:p w14:paraId="1B39E41B" w14:textId="77777777" w:rsidR="00557B33" w:rsidRPr="00880AC0" w:rsidRDefault="00557B33" w:rsidP="000D5A26">
      <w:pPr>
        <w:spacing w:after="120" w:line="360" w:lineRule="auto"/>
        <w:rPr>
          <w:rFonts w:cs="Arial"/>
          <w:b/>
          <w:szCs w:val="20"/>
        </w:rPr>
      </w:pPr>
      <w:r w:rsidRPr="00880AC0">
        <w:rPr>
          <w:rFonts w:cs="Arial"/>
          <w:b/>
          <w:szCs w:val="20"/>
        </w:rPr>
        <w:t xml:space="preserve">Informacje o </w:t>
      </w:r>
      <w:proofErr w:type="spellStart"/>
      <w:r w:rsidRPr="00880AC0">
        <w:rPr>
          <w:rFonts w:cs="Arial"/>
          <w:b/>
          <w:szCs w:val="20"/>
        </w:rPr>
        <w:t>Autodesk</w:t>
      </w:r>
      <w:proofErr w:type="spellEnd"/>
    </w:p>
    <w:p w14:paraId="16F0A6FE" w14:textId="42DA64B1" w:rsidR="00557B33" w:rsidRDefault="00557B33" w:rsidP="00F93BB3">
      <w:pPr>
        <w:spacing w:after="120" w:line="360" w:lineRule="auto"/>
        <w:rPr>
          <w:rFonts w:cs="Arial"/>
          <w:szCs w:val="20"/>
        </w:rPr>
      </w:pPr>
      <w:proofErr w:type="spellStart"/>
      <w:r w:rsidRPr="003262B6">
        <w:rPr>
          <w:rFonts w:cs="Arial"/>
          <w:szCs w:val="20"/>
        </w:rPr>
        <w:t>Autodesk</w:t>
      </w:r>
      <w:proofErr w:type="spellEnd"/>
      <w:r w:rsidRPr="003262B6">
        <w:rPr>
          <w:rFonts w:cs="Arial"/>
          <w:szCs w:val="20"/>
        </w:rPr>
        <w:t xml:space="preserve"> dostarcza oprogramowanie dla</w:t>
      </w:r>
      <w:r>
        <w:rPr>
          <w:rFonts w:cs="Arial"/>
          <w:szCs w:val="20"/>
        </w:rPr>
        <w:t xml:space="preserve"> ludzi, którzy tworzą</w:t>
      </w:r>
      <w:r w:rsidRPr="003262B6">
        <w:rPr>
          <w:rFonts w:cs="Arial"/>
          <w:szCs w:val="20"/>
        </w:rPr>
        <w:t xml:space="preserve">. Jeżeli kiedykolwiek prowadziłeś sportowy samochód, podziwiałeś imponujący wieżowiec, używałeś </w:t>
      </w:r>
      <w:proofErr w:type="spellStart"/>
      <w:r w:rsidRPr="003262B6">
        <w:rPr>
          <w:rFonts w:cs="Arial"/>
          <w:szCs w:val="20"/>
        </w:rPr>
        <w:t>smartfona</w:t>
      </w:r>
      <w:proofErr w:type="spellEnd"/>
      <w:r w:rsidRPr="003262B6">
        <w:rPr>
          <w:rFonts w:cs="Arial"/>
          <w:szCs w:val="20"/>
        </w:rPr>
        <w:t xml:space="preserve"> lub oglądałeś wspaniały film, bardzo możliwe, że doświadczyłeś tego, nad czym pracują miliony </w:t>
      </w:r>
      <w:r>
        <w:rPr>
          <w:rFonts w:cs="Arial"/>
          <w:szCs w:val="20"/>
        </w:rPr>
        <w:t>klientów</w:t>
      </w:r>
      <w:r w:rsidRPr="003262B6">
        <w:rPr>
          <w:rFonts w:cs="Arial"/>
          <w:szCs w:val="20"/>
        </w:rPr>
        <w:t xml:space="preserve"> </w:t>
      </w:r>
      <w:proofErr w:type="spellStart"/>
      <w:r w:rsidRPr="003262B6">
        <w:rPr>
          <w:rFonts w:cs="Arial"/>
          <w:szCs w:val="20"/>
        </w:rPr>
        <w:t>Autodesk</w:t>
      </w:r>
      <w:proofErr w:type="spellEnd"/>
      <w:r w:rsidRPr="003262B6">
        <w:rPr>
          <w:rFonts w:cs="Arial"/>
          <w:szCs w:val="20"/>
        </w:rPr>
        <w:t xml:space="preserve"> na całym świecie. Twórz, co tylko chcesz, z </w:t>
      </w:r>
      <w:proofErr w:type="spellStart"/>
      <w:r w:rsidRPr="003262B6">
        <w:rPr>
          <w:rFonts w:cs="Arial"/>
          <w:szCs w:val="20"/>
        </w:rPr>
        <w:t>Autodesk</w:t>
      </w:r>
      <w:proofErr w:type="spellEnd"/>
      <w:r w:rsidRPr="003262B6">
        <w:rPr>
          <w:rFonts w:cs="Arial"/>
          <w:szCs w:val="20"/>
        </w:rPr>
        <w:t xml:space="preserve">. Więcej informacji na </w:t>
      </w:r>
      <w:hyperlink r:id="rId11" w:history="1">
        <w:r w:rsidR="0072413D" w:rsidRPr="00B27E6F">
          <w:rPr>
            <w:rStyle w:val="Hipercze"/>
            <w:rFonts w:cs="Arial"/>
            <w:szCs w:val="20"/>
          </w:rPr>
          <w:t>www.autodesk.pl</w:t>
        </w:r>
      </w:hyperlink>
      <w:r w:rsidRPr="003262B6">
        <w:rPr>
          <w:rFonts w:cs="Arial"/>
          <w:szCs w:val="20"/>
        </w:rPr>
        <w:t xml:space="preserve">, </w:t>
      </w:r>
      <w:hyperlink r:id="rId12" w:history="1">
        <w:r w:rsidRPr="003262B6">
          <w:rPr>
            <w:rStyle w:val="Hipercze"/>
            <w:rFonts w:cs="Arial"/>
            <w:szCs w:val="20"/>
          </w:rPr>
          <w:t>www.facebook.com/Autodesk.Poland</w:t>
        </w:r>
      </w:hyperlink>
      <w:r w:rsidRPr="003262B6">
        <w:rPr>
          <w:rFonts w:cs="Arial"/>
          <w:szCs w:val="20"/>
        </w:rPr>
        <w:t xml:space="preserve"> </w:t>
      </w:r>
    </w:p>
    <w:p w14:paraId="2943272E" w14:textId="77777777" w:rsidR="00557B33" w:rsidRDefault="00557B33" w:rsidP="00F93BB3">
      <w:pPr>
        <w:spacing w:after="120" w:line="360" w:lineRule="auto"/>
        <w:rPr>
          <w:rFonts w:cs="Arial"/>
          <w:szCs w:val="20"/>
        </w:rPr>
      </w:pPr>
    </w:p>
    <w:sectPr w:rsidR="00557B33" w:rsidSect="0004357A">
      <w:headerReference w:type="default" r:id="rId13"/>
      <w:footerReference w:type="default" r:id="rId14"/>
      <w:pgSz w:w="11906" w:h="16838"/>
      <w:pgMar w:top="1702" w:right="1417" w:bottom="170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73957" w16cid:durableId="20B4AE17"/>
  <w16cid:commentId w16cid:paraId="4CA12C20" w16cid:durableId="20B4A7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B815" w14:textId="77777777" w:rsidR="00305183" w:rsidRDefault="00305183" w:rsidP="00880AC0">
      <w:r>
        <w:separator/>
      </w:r>
    </w:p>
  </w:endnote>
  <w:endnote w:type="continuationSeparator" w:id="0">
    <w:p w14:paraId="14273B43" w14:textId="77777777" w:rsidR="00305183" w:rsidRDefault="00305183" w:rsidP="0088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4FE3" w14:textId="316A7322" w:rsidR="00557B33" w:rsidRDefault="001118D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AD8FE1F" wp14:editId="0032A181">
          <wp:simplePos x="0" y="0"/>
          <wp:positionH relativeFrom="page">
            <wp:posOffset>5793740</wp:posOffset>
          </wp:positionH>
          <wp:positionV relativeFrom="page">
            <wp:posOffset>9994265</wp:posOffset>
          </wp:positionV>
          <wp:extent cx="1347470" cy="22860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9451" w14:textId="77777777" w:rsidR="00305183" w:rsidRDefault="00305183" w:rsidP="00880AC0">
      <w:r>
        <w:separator/>
      </w:r>
    </w:p>
  </w:footnote>
  <w:footnote w:type="continuationSeparator" w:id="0">
    <w:p w14:paraId="09603B5F" w14:textId="77777777" w:rsidR="00305183" w:rsidRDefault="00305183" w:rsidP="0088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803B" w14:textId="620A560A" w:rsidR="00557B33" w:rsidRDefault="001118DC">
    <w:pPr>
      <w:pStyle w:val="Nagwek"/>
    </w:pPr>
    <w:r>
      <w:rPr>
        <w:noProof/>
        <w:lang w:eastAsia="pl-PL"/>
      </w:rPr>
      <w:drawing>
        <wp:inline distT="0" distB="0" distL="0" distR="0" wp14:anchorId="40A0FB64" wp14:editId="0E515A85">
          <wp:extent cx="2179320" cy="228600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664"/>
    <w:multiLevelType w:val="multilevel"/>
    <w:tmpl w:val="618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45C09"/>
    <w:multiLevelType w:val="multilevel"/>
    <w:tmpl w:val="FFA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531C6"/>
    <w:multiLevelType w:val="multilevel"/>
    <w:tmpl w:val="5FF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114DE"/>
    <w:multiLevelType w:val="multilevel"/>
    <w:tmpl w:val="92F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B3C3C"/>
    <w:multiLevelType w:val="hybridMultilevel"/>
    <w:tmpl w:val="1854C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1480"/>
    <w:multiLevelType w:val="hybridMultilevel"/>
    <w:tmpl w:val="437C6078"/>
    <w:lvl w:ilvl="0" w:tplc="61903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000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DE0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4A18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82F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DAB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9E4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AEE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54D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00"/>
    <w:rsid w:val="00016E14"/>
    <w:rsid w:val="00024F55"/>
    <w:rsid w:val="000315F5"/>
    <w:rsid w:val="00033F82"/>
    <w:rsid w:val="0004357A"/>
    <w:rsid w:val="00044A7D"/>
    <w:rsid w:val="0004731F"/>
    <w:rsid w:val="00047B0A"/>
    <w:rsid w:val="00051A1A"/>
    <w:rsid w:val="00070BF6"/>
    <w:rsid w:val="00075011"/>
    <w:rsid w:val="00077634"/>
    <w:rsid w:val="00081E46"/>
    <w:rsid w:val="00084780"/>
    <w:rsid w:val="00092281"/>
    <w:rsid w:val="000A1843"/>
    <w:rsid w:val="000A33E7"/>
    <w:rsid w:val="000B2CE8"/>
    <w:rsid w:val="000B3738"/>
    <w:rsid w:val="000B4668"/>
    <w:rsid w:val="000B7C7F"/>
    <w:rsid w:val="000C0553"/>
    <w:rsid w:val="000C3A3F"/>
    <w:rsid w:val="000D0745"/>
    <w:rsid w:val="000D0F93"/>
    <w:rsid w:val="000D3F7E"/>
    <w:rsid w:val="000D4FB9"/>
    <w:rsid w:val="000D5A26"/>
    <w:rsid w:val="000D6D93"/>
    <w:rsid w:val="000D7EF4"/>
    <w:rsid w:val="000E5EBE"/>
    <w:rsid w:val="000E7DC1"/>
    <w:rsid w:val="000F0BCA"/>
    <w:rsid w:val="000F652B"/>
    <w:rsid w:val="0010464A"/>
    <w:rsid w:val="001118DC"/>
    <w:rsid w:val="0013102A"/>
    <w:rsid w:val="001377A1"/>
    <w:rsid w:val="001377F6"/>
    <w:rsid w:val="001527EE"/>
    <w:rsid w:val="00171B81"/>
    <w:rsid w:val="001803A1"/>
    <w:rsid w:val="00192EF2"/>
    <w:rsid w:val="00197009"/>
    <w:rsid w:val="001A025B"/>
    <w:rsid w:val="001A07DD"/>
    <w:rsid w:val="001A1D15"/>
    <w:rsid w:val="001A6040"/>
    <w:rsid w:val="001A6E31"/>
    <w:rsid w:val="001B4A0D"/>
    <w:rsid w:val="001B586B"/>
    <w:rsid w:val="001C5837"/>
    <w:rsid w:val="001E42A1"/>
    <w:rsid w:val="001E4F73"/>
    <w:rsid w:val="001E6C42"/>
    <w:rsid w:val="001E7832"/>
    <w:rsid w:val="00206967"/>
    <w:rsid w:val="0020704C"/>
    <w:rsid w:val="00214443"/>
    <w:rsid w:val="00214E5A"/>
    <w:rsid w:val="00216F35"/>
    <w:rsid w:val="002278C3"/>
    <w:rsid w:val="00234502"/>
    <w:rsid w:val="00242F1D"/>
    <w:rsid w:val="00244E2E"/>
    <w:rsid w:val="00253E60"/>
    <w:rsid w:val="00255C27"/>
    <w:rsid w:val="00264326"/>
    <w:rsid w:val="002719A8"/>
    <w:rsid w:val="00293F6A"/>
    <w:rsid w:val="00293FE9"/>
    <w:rsid w:val="00296B31"/>
    <w:rsid w:val="002979E2"/>
    <w:rsid w:val="002A0335"/>
    <w:rsid w:val="002A26B2"/>
    <w:rsid w:val="002A3724"/>
    <w:rsid w:val="002B5740"/>
    <w:rsid w:val="002C268D"/>
    <w:rsid w:val="002D7933"/>
    <w:rsid w:val="002D7DF7"/>
    <w:rsid w:val="002E5D30"/>
    <w:rsid w:val="002E74E9"/>
    <w:rsid w:val="002F0818"/>
    <w:rsid w:val="003002A8"/>
    <w:rsid w:val="00302743"/>
    <w:rsid w:val="00303BB0"/>
    <w:rsid w:val="003044E3"/>
    <w:rsid w:val="00305183"/>
    <w:rsid w:val="00306BD7"/>
    <w:rsid w:val="00310702"/>
    <w:rsid w:val="00312FDF"/>
    <w:rsid w:val="00316749"/>
    <w:rsid w:val="00320E4C"/>
    <w:rsid w:val="00324498"/>
    <w:rsid w:val="003262B6"/>
    <w:rsid w:val="00331595"/>
    <w:rsid w:val="003442E1"/>
    <w:rsid w:val="00361AA6"/>
    <w:rsid w:val="00361EB7"/>
    <w:rsid w:val="00364B4E"/>
    <w:rsid w:val="003652E3"/>
    <w:rsid w:val="00365EE0"/>
    <w:rsid w:val="00370751"/>
    <w:rsid w:val="00381100"/>
    <w:rsid w:val="00387B21"/>
    <w:rsid w:val="00394B83"/>
    <w:rsid w:val="003A1578"/>
    <w:rsid w:val="003A2FA9"/>
    <w:rsid w:val="003C201E"/>
    <w:rsid w:val="003C71C8"/>
    <w:rsid w:val="003E6111"/>
    <w:rsid w:val="003F0EC8"/>
    <w:rsid w:val="003F2690"/>
    <w:rsid w:val="003F462F"/>
    <w:rsid w:val="004008E2"/>
    <w:rsid w:val="00404484"/>
    <w:rsid w:val="00415DB3"/>
    <w:rsid w:val="0042185A"/>
    <w:rsid w:val="0042532B"/>
    <w:rsid w:val="0043697D"/>
    <w:rsid w:val="0044081F"/>
    <w:rsid w:val="00447960"/>
    <w:rsid w:val="004511A1"/>
    <w:rsid w:val="004534F0"/>
    <w:rsid w:val="004574F4"/>
    <w:rsid w:val="00462BCE"/>
    <w:rsid w:val="00477EB6"/>
    <w:rsid w:val="0048322F"/>
    <w:rsid w:val="004903BB"/>
    <w:rsid w:val="00495269"/>
    <w:rsid w:val="004A01F3"/>
    <w:rsid w:val="004A25AD"/>
    <w:rsid w:val="004A2C65"/>
    <w:rsid w:val="004A5652"/>
    <w:rsid w:val="004A67C6"/>
    <w:rsid w:val="004A6BB1"/>
    <w:rsid w:val="004B4C36"/>
    <w:rsid w:val="004C07E3"/>
    <w:rsid w:val="004C7489"/>
    <w:rsid w:val="004C7EC3"/>
    <w:rsid w:val="004D559B"/>
    <w:rsid w:val="004D7D19"/>
    <w:rsid w:val="004E3EE5"/>
    <w:rsid w:val="004F1BF9"/>
    <w:rsid w:val="004F47CF"/>
    <w:rsid w:val="00520304"/>
    <w:rsid w:val="0053596C"/>
    <w:rsid w:val="00537450"/>
    <w:rsid w:val="00537C6A"/>
    <w:rsid w:val="00546029"/>
    <w:rsid w:val="0054733A"/>
    <w:rsid w:val="005527EF"/>
    <w:rsid w:val="00553CD8"/>
    <w:rsid w:val="00557B33"/>
    <w:rsid w:val="00565DA2"/>
    <w:rsid w:val="00566D28"/>
    <w:rsid w:val="00573716"/>
    <w:rsid w:val="005839E6"/>
    <w:rsid w:val="005848EE"/>
    <w:rsid w:val="00584A56"/>
    <w:rsid w:val="0058695D"/>
    <w:rsid w:val="00590D8A"/>
    <w:rsid w:val="005A1758"/>
    <w:rsid w:val="005A512D"/>
    <w:rsid w:val="005B6970"/>
    <w:rsid w:val="005B6D58"/>
    <w:rsid w:val="005B773B"/>
    <w:rsid w:val="005C674E"/>
    <w:rsid w:val="005C6751"/>
    <w:rsid w:val="005D1A06"/>
    <w:rsid w:val="005E334D"/>
    <w:rsid w:val="005E5BAF"/>
    <w:rsid w:val="005F4A0C"/>
    <w:rsid w:val="005F637E"/>
    <w:rsid w:val="005F72D2"/>
    <w:rsid w:val="006049B9"/>
    <w:rsid w:val="00622959"/>
    <w:rsid w:val="00626F2C"/>
    <w:rsid w:val="006304B3"/>
    <w:rsid w:val="0064018A"/>
    <w:rsid w:val="00640C4C"/>
    <w:rsid w:val="0064437B"/>
    <w:rsid w:val="00646ADC"/>
    <w:rsid w:val="006505E8"/>
    <w:rsid w:val="00661A00"/>
    <w:rsid w:val="00673C36"/>
    <w:rsid w:val="00680D73"/>
    <w:rsid w:val="00691E31"/>
    <w:rsid w:val="0069220F"/>
    <w:rsid w:val="006A4E00"/>
    <w:rsid w:val="006A7441"/>
    <w:rsid w:val="006B3B38"/>
    <w:rsid w:val="006B6099"/>
    <w:rsid w:val="006C653C"/>
    <w:rsid w:val="006D534D"/>
    <w:rsid w:val="006D5E88"/>
    <w:rsid w:val="006D6D79"/>
    <w:rsid w:val="006D6EA5"/>
    <w:rsid w:val="006E1F54"/>
    <w:rsid w:val="006E3286"/>
    <w:rsid w:val="006E3967"/>
    <w:rsid w:val="00702C50"/>
    <w:rsid w:val="0070630B"/>
    <w:rsid w:val="0071401B"/>
    <w:rsid w:val="0072130E"/>
    <w:rsid w:val="0072413D"/>
    <w:rsid w:val="00733900"/>
    <w:rsid w:val="00737568"/>
    <w:rsid w:val="007517A7"/>
    <w:rsid w:val="007550B3"/>
    <w:rsid w:val="007662E7"/>
    <w:rsid w:val="007669D4"/>
    <w:rsid w:val="00770972"/>
    <w:rsid w:val="007728D0"/>
    <w:rsid w:val="007765FD"/>
    <w:rsid w:val="00784F67"/>
    <w:rsid w:val="007854DE"/>
    <w:rsid w:val="00786027"/>
    <w:rsid w:val="00790253"/>
    <w:rsid w:val="007951A6"/>
    <w:rsid w:val="00797A9B"/>
    <w:rsid w:val="007A0163"/>
    <w:rsid w:val="007C11DD"/>
    <w:rsid w:val="007C59C7"/>
    <w:rsid w:val="007C622E"/>
    <w:rsid w:val="007E453A"/>
    <w:rsid w:val="007F3997"/>
    <w:rsid w:val="007F632F"/>
    <w:rsid w:val="00801846"/>
    <w:rsid w:val="00807588"/>
    <w:rsid w:val="00815190"/>
    <w:rsid w:val="00821349"/>
    <w:rsid w:val="00841A39"/>
    <w:rsid w:val="00843CCD"/>
    <w:rsid w:val="008626D7"/>
    <w:rsid w:val="008630EB"/>
    <w:rsid w:val="00863593"/>
    <w:rsid w:val="0087486B"/>
    <w:rsid w:val="008753B1"/>
    <w:rsid w:val="008760D7"/>
    <w:rsid w:val="008800C6"/>
    <w:rsid w:val="00880AC0"/>
    <w:rsid w:val="0088572F"/>
    <w:rsid w:val="00890E39"/>
    <w:rsid w:val="00892EE0"/>
    <w:rsid w:val="00894DA6"/>
    <w:rsid w:val="008969F5"/>
    <w:rsid w:val="00897733"/>
    <w:rsid w:val="008977BF"/>
    <w:rsid w:val="008A13C0"/>
    <w:rsid w:val="008A3547"/>
    <w:rsid w:val="008A36B5"/>
    <w:rsid w:val="008C30D6"/>
    <w:rsid w:val="008C385C"/>
    <w:rsid w:val="008D128C"/>
    <w:rsid w:val="008D654D"/>
    <w:rsid w:val="008E0B4F"/>
    <w:rsid w:val="008F46E6"/>
    <w:rsid w:val="008F496F"/>
    <w:rsid w:val="008F6E45"/>
    <w:rsid w:val="008F7B74"/>
    <w:rsid w:val="00907532"/>
    <w:rsid w:val="0091167A"/>
    <w:rsid w:val="00915F32"/>
    <w:rsid w:val="00930124"/>
    <w:rsid w:val="00931DA3"/>
    <w:rsid w:val="00935747"/>
    <w:rsid w:val="009406CF"/>
    <w:rsid w:val="00941091"/>
    <w:rsid w:val="00965C30"/>
    <w:rsid w:val="00970E74"/>
    <w:rsid w:val="0097104F"/>
    <w:rsid w:val="00976D4B"/>
    <w:rsid w:val="00983860"/>
    <w:rsid w:val="0098594D"/>
    <w:rsid w:val="009A10EF"/>
    <w:rsid w:val="009A610D"/>
    <w:rsid w:val="009B5148"/>
    <w:rsid w:val="009B6E38"/>
    <w:rsid w:val="009B7644"/>
    <w:rsid w:val="009C4059"/>
    <w:rsid w:val="009C428D"/>
    <w:rsid w:val="009C461D"/>
    <w:rsid w:val="009C4B3F"/>
    <w:rsid w:val="009D3869"/>
    <w:rsid w:val="00A020CD"/>
    <w:rsid w:val="00A02A95"/>
    <w:rsid w:val="00A15550"/>
    <w:rsid w:val="00A173C9"/>
    <w:rsid w:val="00A34244"/>
    <w:rsid w:val="00A35188"/>
    <w:rsid w:val="00A37EE2"/>
    <w:rsid w:val="00A42878"/>
    <w:rsid w:val="00A42A66"/>
    <w:rsid w:val="00A471B0"/>
    <w:rsid w:val="00A511E1"/>
    <w:rsid w:val="00A5159B"/>
    <w:rsid w:val="00A70644"/>
    <w:rsid w:val="00A70F32"/>
    <w:rsid w:val="00A72029"/>
    <w:rsid w:val="00A7457C"/>
    <w:rsid w:val="00A75654"/>
    <w:rsid w:val="00A81374"/>
    <w:rsid w:val="00A83C77"/>
    <w:rsid w:val="00A87BD7"/>
    <w:rsid w:val="00A96ECC"/>
    <w:rsid w:val="00AA295A"/>
    <w:rsid w:val="00AA60C9"/>
    <w:rsid w:val="00AA763F"/>
    <w:rsid w:val="00AB79C4"/>
    <w:rsid w:val="00AD4A5C"/>
    <w:rsid w:val="00AD5993"/>
    <w:rsid w:val="00AE0C0A"/>
    <w:rsid w:val="00AE0FA6"/>
    <w:rsid w:val="00AE3116"/>
    <w:rsid w:val="00AF1631"/>
    <w:rsid w:val="00AF33EA"/>
    <w:rsid w:val="00AF5607"/>
    <w:rsid w:val="00AF7806"/>
    <w:rsid w:val="00AF7F88"/>
    <w:rsid w:val="00B12179"/>
    <w:rsid w:val="00B121B4"/>
    <w:rsid w:val="00B13C02"/>
    <w:rsid w:val="00B23D09"/>
    <w:rsid w:val="00B27815"/>
    <w:rsid w:val="00B4023C"/>
    <w:rsid w:val="00B44665"/>
    <w:rsid w:val="00B47E4C"/>
    <w:rsid w:val="00B510BE"/>
    <w:rsid w:val="00B63236"/>
    <w:rsid w:val="00B641A0"/>
    <w:rsid w:val="00B72AA7"/>
    <w:rsid w:val="00B7482F"/>
    <w:rsid w:val="00B75D11"/>
    <w:rsid w:val="00B80958"/>
    <w:rsid w:val="00B80FFB"/>
    <w:rsid w:val="00B86DD5"/>
    <w:rsid w:val="00B92FFE"/>
    <w:rsid w:val="00B93878"/>
    <w:rsid w:val="00B95677"/>
    <w:rsid w:val="00BA35BC"/>
    <w:rsid w:val="00BD3D88"/>
    <w:rsid w:val="00BD4091"/>
    <w:rsid w:val="00BE06A2"/>
    <w:rsid w:val="00BE297D"/>
    <w:rsid w:val="00BE57E3"/>
    <w:rsid w:val="00BF0F08"/>
    <w:rsid w:val="00BF3C87"/>
    <w:rsid w:val="00C0017F"/>
    <w:rsid w:val="00C03261"/>
    <w:rsid w:val="00C047C5"/>
    <w:rsid w:val="00C1146D"/>
    <w:rsid w:val="00C21DCD"/>
    <w:rsid w:val="00C2227E"/>
    <w:rsid w:val="00C235BB"/>
    <w:rsid w:val="00C425DD"/>
    <w:rsid w:val="00C50AF4"/>
    <w:rsid w:val="00C52478"/>
    <w:rsid w:val="00C66CD5"/>
    <w:rsid w:val="00C7640C"/>
    <w:rsid w:val="00C93073"/>
    <w:rsid w:val="00C97BAE"/>
    <w:rsid w:val="00CA0523"/>
    <w:rsid w:val="00CD0ABD"/>
    <w:rsid w:val="00CE32CB"/>
    <w:rsid w:val="00CF1628"/>
    <w:rsid w:val="00CF5147"/>
    <w:rsid w:val="00D01240"/>
    <w:rsid w:val="00D31D86"/>
    <w:rsid w:val="00D32EB2"/>
    <w:rsid w:val="00D33BA3"/>
    <w:rsid w:val="00D34618"/>
    <w:rsid w:val="00D40A41"/>
    <w:rsid w:val="00D4260E"/>
    <w:rsid w:val="00D7399B"/>
    <w:rsid w:val="00DA0DB3"/>
    <w:rsid w:val="00DA7261"/>
    <w:rsid w:val="00DB04ED"/>
    <w:rsid w:val="00DC43A5"/>
    <w:rsid w:val="00DC676D"/>
    <w:rsid w:val="00DC7654"/>
    <w:rsid w:val="00DD64B2"/>
    <w:rsid w:val="00DE0114"/>
    <w:rsid w:val="00DE0BA2"/>
    <w:rsid w:val="00DE1382"/>
    <w:rsid w:val="00DF2205"/>
    <w:rsid w:val="00DF7C2D"/>
    <w:rsid w:val="00DF7F9D"/>
    <w:rsid w:val="00E010DD"/>
    <w:rsid w:val="00E10C89"/>
    <w:rsid w:val="00E131BD"/>
    <w:rsid w:val="00E16471"/>
    <w:rsid w:val="00E26C33"/>
    <w:rsid w:val="00E3329B"/>
    <w:rsid w:val="00E34447"/>
    <w:rsid w:val="00E34CB7"/>
    <w:rsid w:val="00E374BE"/>
    <w:rsid w:val="00E40520"/>
    <w:rsid w:val="00E42B1C"/>
    <w:rsid w:val="00E47F32"/>
    <w:rsid w:val="00E53424"/>
    <w:rsid w:val="00E74032"/>
    <w:rsid w:val="00E74096"/>
    <w:rsid w:val="00E87CA5"/>
    <w:rsid w:val="00E90312"/>
    <w:rsid w:val="00E95629"/>
    <w:rsid w:val="00EA214A"/>
    <w:rsid w:val="00EB0A8D"/>
    <w:rsid w:val="00EC4B4F"/>
    <w:rsid w:val="00EC66F1"/>
    <w:rsid w:val="00ED2F30"/>
    <w:rsid w:val="00EE5382"/>
    <w:rsid w:val="00EF4ADA"/>
    <w:rsid w:val="00EF7E50"/>
    <w:rsid w:val="00F01F0B"/>
    <w:rsid w:val="00F12153"/>
    <w:rsid w:val="00F15C98"/>
    <w:rsid w:val="00F2438B"/>
    <w:rsid w:val="00F31C63"/>
    <w:rsid w:val="00F329FD"/>
    <w:rsid w:val="00F419A9"/>
    <w:rsid w:val="00F4244D"/>
    <w:rsid w:val="00F44D35"/>
    <w:rsid w:val="00F525E9"/>
    <w:rsid w:val="00F65992"/>
    <w:rsid w:val="00F72960"/>
    <w:rsid w:val="00F82DEA"/>
    <w:rsid w:val="00F93BB3"/>
    <w:rsid w:val="00F9484C"/>
    <w:rsid w:val="00F960FA"/>
    <w:rsid w:val="00F961F6"/>
    <w:rsid w:val="00FA76A4"/>
    <w:rsid w:val="00FA7B47"/>
    <w:rsid w:val="00FB23AB"/>
    <w:rsid w:val="00FC02A8"/>
    <w:rsid w:val="00FC508D"/>
    <w:rsid w:val="00FD16F7"/>
    <w:rsid w:val="00FE04E6"/>
    <w:rsid w:val="00FF01D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478EA"/>
  <w15:docId w15:val="{0F6366FB-C7B7-4D93-A3A6-3EAA21B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0EB"/>
    <w:rPr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F33E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D6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F33EA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880A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880AC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80AC0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880A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80A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80A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0A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0A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80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0AC0"/>
    <w:rPr>
      <w:rFonts w:ascii="Tahoma" w:hAnsi="Tahoma" w:cs="Tahoma"/>
      <w:sz w:val="16"/>
      <w:szCs w:val="16"/>
    </w:rPr>
  </w:style>
  <w:style w:type="paragraph" w:customStyle="1" w:styleId="ADSKContact">
    <w:name w:val="ADSK Contact"/>
    <w:basedOn w:val="Normalny"/>
    <w:uiPriority w:val="99"/>
    <w:rsid w:val="00880AC0"/>
    <w:pPr>
      <w:tabs>
        <w:tab w:val="left" w:pos="900"/>
      </w:tabs>
      <w:spacing w:line="360" w:lineRule="auto"/>
    </w:pPr>
    <w:rPr>
      <w:rFonts w:eastAsia="MS Mincho"/>
      <w:sz w:val="18"/>
      <w:szCs w:val="20"/>
      <w:lang w:val="en-US"/>
    </w:rPr>
  </w:style>
  <w:style w:type="character" w:styleId="Hipercze">
    <w:name w:val="Hyperlink"/>
    <w:uiPriority w:val="99"/>
    <w:rsid w:val="00565DA2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27EE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27EE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27E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94109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091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09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0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1091"/>
    <w:rPr>
      <w:rFonts w:cs="Times New Roman"/>
      <w:b/>
      <w:bCs/>
      <w:sz w:val="20"/>
      <w:szCs w:val="20"/>
    </w:rPr>
  </w:style>
  <w:style w:type="character" w:styleId="Uwydatnienie">
    <w:name w:val="Emphasis"/>
    <w:uiPriority w:val="99"/>
    <w:qFormat/>
    <w:rsid w:val="006E1F54"/>
    <w:rPr>
      <w:rFonts w:cs="Times New Roman"/>
      <w:i/>
      <w:iCs/>
    </w:rPr>
  </w:style>
  <w:style w:type="paragraph" w:styleId="NormalnyWeb">
    <w:name w:val="Normal (Web)"/>
    <w:basedOn w:val="Normalny"/>
    <w:uiPriority w:val="99"/>
    <w:semiHidden/>
    <w:rsid w:val="00AF33E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AF33EA"/>
    <w:rPr>
      <w:rFonts w:cs="Times New Roman"/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1377F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D65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4357A"/>
    <w:rPr>
      <w:b/>
      <w:bCs/>
    </w:rPr>
  </w:style>
  <w:style w:type="paragraph" w:customStyle="1" w:styleId="wd-light">
    <w:name w:val="wd-light"/>
    <w:basedOn w:val="Normalny"/>
    <w:rsid w:val="0004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0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desk.pl/campaigns/aec/wizja-liderow-2025?mktvar002=1069183&amp;utm_medium=social&amp;utm_source=other&amp;utm_campaign=emea-aec-fy20abmaecleadersreport&amp;utm_id=106918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utodesk.Polan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desk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utodesk.pl/campaigns/aec/wizja-liderow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todesk.pl/bimday201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83C8-31D5-4F10-AB71-AC96E1C1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1722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Sapija</dc:creator>
  <cp:keywords/>
  <dc:description/>
  <cp:lastModifiedBy>Joanna Borowska</cp:lastModifiedBy>
  <cp:revision>4</cp:revision>
  <cp:lastPrinted>2019-06-18T07:50:00Z</cp:lastPrinted>
  <dcterms:created xsi:type="dcterms:W3CDTF">2019-06-26T08:17:00Z</dcterms:created>
  <dcterms:modified xsi:type="dcterms:W3CDTF">2019-06-26T08:54:00Z</dcterms:modified>
</cp:coreProperties>
</file>