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EF8E" w14:textId="77777777" w:rsidR="00557B33" w:rsidRDefault="00557B33" w:rsidP="00A7457C">
      <w:pPr>
        <w:pStyle w:val="ADSKContact"/>
        <w:jc w:val="both"/>
        <w:rPr>
          <w:noProof/>
          <w:lang w:val="sv-SE"/>
        </w:rPr>
      </w:pPr>
      <w:r>
        <w:rPr>
          <w:noProof/>
          <w:lang w:val="sv-SE"/>
        </w:rPr>
        <w:t xml:space="preserve">Kontakt: </w:t>
      </w:r>
    </w:p>
    <w:p w14:paraId="666E9EF2" w14:textId="77777777" w:rsidR="00081E46" w:rsidRPr="008E5AC1" w:rsidRDefault="00081E46" w:rsidP="00081E46">
      <w:pPr>
        <w:pStyle w:val="ADSKContact"/>
        <w:jc w:val="both"/>
        <w:rPr>
          <w:noProof/>
          <w:lang w:val="pl-PL"/>
        </w:rPr>
      </w:pPr>
      <w:r w:rsidRPr="001B586B">
        <w:rPr>
          <w:noProof/>
          <w:lang w:val="it-IT"/>
        </w:rPr>
        <w:t>Joanna B</w:t>
      </w:r>
      <w:r>
        <w:rPr>
          <w:noProof/>
          <w:lang w:val="it-IT"/>
        </w:rPr>
        <w:t>orowska, Omega Communication, </w:t>
      </w:r>
      <w:r>
        <w:rPr>
          <w:noProof/>
          <w:lang w:val="pl-PL"/>
        </w:rPr>
        <w:t>22 854 16</w:t>
      </w:r>
      <w:r w:rsidRPr="008E5AC1">
        <w:rPr>
          <w:noProof/>
          <w:lang w:val="pl-PL"/>
        </w:rPr>
        <w:t>23</w:t>
      </w:r>
      <w:r>
        <w:rPr>
          <w:noProof/>
          <w:lang w:val="it-IT"/>
        </w:rPr>
        <w:t xml:space="preserve">, 664 761 </w:t>
      </w:r>
      <w:r w:rsidRPr="001B586B">
        <w:rPr>
          <w:noProof/>
          <w:lang w:val="it-IT"/>
        </w:rPr>
        <w:t>401; jborowska@communication.pl</w:t>
      </w:r>
    </w:p>
    <w:p w14:paraId="3963AA2A" w14:textId="77777777" w:rsidR="00557B33" w:rsidRPr="00F4244D" w:rsidRDefault="00557B33" w:rsidP="00F4244D">
      <w:pPr>
        <w:pStyle w:val="ADSKContact"/>
        <w:rPr>
          <w:noProof/>
          <w:lang w:val="pl-PL"/>
        </w:rPr>
      </w:pPr>
      <w:r w:rsidRPr="00F4244D">
        <w:rPr>
          <w:noProof/>
          <w:lang w:val="it-IT"/>
        </w:rPr>
        <w:t>Dorota Sapija, Omega Communication, </w:t>
      </w:r>
      <w:r w:rsidRPr="00F4244D">
        <w:rPr>
          <w:noProof/>
          <w:lang w:val="pl-PL"/>
        </w:rPr>
        <w:t>22 854 1639</w:t>
      </w:r>
      <w:r w:rsidRPr="00F4244D">
        <w:rPr>
          <w:noProof/>
          <w:lang w:val="it-IT"/>
        </w:rPr>
        <w:t>, 608 038 401; dsapija@communication.pl</w:t>
      </w:r>
    </w:p>
    <w:p w14:paraId="3F83D39E" w14:textId="77777777" w:rsidR="00557B33" w:rsidRPr="00DF7C2D" w:rsidRDefault="00557B33" w:rsidP="00F93BB3">
      <w:pPr>
        <w:pBdr>
          <w:bottom w:val="single" w:sz="4" w:space="1" w:color="auto"/>
        </w:pBdr>
        <w:spacing w:line="360" w:lineRule="auto"/>
        <w:jc w:val="both"/>
        <w:rPr>
          <w:lang w:val="fr-FR"/>
        </w:rPr>
      </w:pPr>
    </w:p>
    <w:p w14:paraId="3F5A1D61" w14:textId="77777777" w:rsidR="00557B33" w:rsidRPr="00B80958" w:rsidRDefault="00557B33" w:rsidP="00F4244D">
      <w:pPr>
        <w:spacing w:line="360" w:lineRule="auto"/>
        <w:rPr>
          <w:rFonts w:cs="Arial"/>
          <w:b/>
          <w:bCs/>
          <w:sz w:val="22"/>
        </w:rPr>
      </w:pPr>
    </w:p>
    <w:p w14:paraId="02D613B9" w14:textId="57F469DF" w:rsidR="008F496F" w:rsidRPr="008F496F" w:rsidRDefault="008F496F" w:rsidP="008F496F">
      <w:pPr>
        <w:spacing w:line="360" w:lineRule="auto"/>
        <w:rPr>
          <w:rFonts w:cs="Arial"/>
          <w:b/>
          <w:bCs/>
          <w:sz w:val="22"/>
        </w:rPr>
      </w:pPr>
      <w:r w:rsidRPr="008F496F">
        <w:rPr>
          <w:rFonts w:cs="Arial"/>
          <w:b/>
          <w:bCs/>
          <w:sz w:val="22"/>
        </w:rPr>
        <w:t>Raport „Budownictwo. Innowacje. Wizja liderów branży 2025.”</w:t>
      </w:r>
      <w:r w:rsidR="00A1750B">
        <w:rPr>
          <w:rFonts w:cs="Arial"/>
          <w:b/>
          <w:bCs/>
          <w:sz w:val="22"/>
        </w:rPr>
        <w:t xml:space="preserve"> – podstawowe informacje</w:t>
      </w:r>
    </w:p>
    <w:p w14:paraId="6C2E8F95" w14:textId="77777777" w:rsidR="00D613D9" w:rsidRDefault="00D613D9" w:rsidP="00D613D9">
      <w:pPr>
        <w:spacing w:after="120" w:line="360" w:lineRule="auto"/>
        <w:rPr>
          <w:rFonts w:cs="Arial"/>
          <w:szCs w:val="20"/>
        </w:rPr>
      </w:pPr>
    </w:p>
    <w:p w14:paraId="199FF899" w14:textId="2E8A1927" w:rsidR="00E9744E" w:rsidRDefault="00D613D9" w:rsidP="00D613D9">
      <w:pPr>
        <w:spacing w:after="120" w:line="360" w:lineRule="auto"/>
        <w:rPr>
          <w:rFonts w:cs="Arial"/>
          <w:szCs w:val="20"/>
        </w:rPr>
      </w:pPr>
      <w:r w:rsidRPr="00B63236">
        <w:rPr>
          <w:rFonts w:cs="Arial"/>
          <w:szCs w:val="20"/>
        </w:rPr>
        <w:t xml:space="preserve">Raport pn. Budownictwo. Innowacje. Wizja liderów branży 2025. został przygotowany przez ASM </w:t>
      </w:r>
      <w:r w:rsidR="005F4AD3">
        <w:rPr>
          <w:rFonts w:cs="Arial"/>
          <w:szCs w:val="20"/>
        </w:rPr>
        <w:t>-</w:t>
      </w:r>
      <w:r w:rsidRPr="00B63236">
        <w:rPr>
          <w:rFonts w:cs="Arial"/>
          <w:szCs w:val="20"/>
        </w:rPr>
        <w:t xml:space="preserve">Centrum Badań i Analiz Rynku na zlecenie Autodesk. </w:t>
      </w:r>
      <w:r w:rsidR="005F4AD3">
        <w:rPr>
          <w:rFonts w:cs="Arial"/>
          <w:szCs w:val="20"/>
        </w:rPr>
        <w:t xml:space="preserve">Materiał powstał na podstawie </w:t>
      </w:r>
      <w:r w:rsidRPr="00B63236">
        <w:rPr>
          <w:rFonts w:cs="Arial"/>
          <w:szCs w:val="20"/>
        </w:rPr>
        <w:t>19 indywidualnych, pogłębionych wywiadów jakościowych z liderami polskiej branży ar</w:t>
      </w:r>
      <w:r>
        <w:rPr>
          <w:rFonts w:cs="Arial"/>
          <w:szCs w:val="20"/>
        </w:rPr>
        <w:t>chitektonicznej i </w:t>
      </w:r>
      <w:r w:rsidRPr="00B63236">
        <w:rPr>
          <w:rFonts w:cs="Arial"/>
          <w:szCs w:val="20"/>
        </w:rPr>
        <w:t>budowlanej. Do udziału w projekcie zaproszono przedstawicieli kadry zarządzającej największych biur projektowych, renomowanych pracowni architektoniczn</w:t>
      </w:r>
      <w:r w:rsidR="00A1750B">
        <w:rPr>
          <w:rFonts w:cs="Arial"/>
          <w:szCs w:val="20"/>
        </w:rPr>
        <w:t>ych, największych deweloperów i </w:t>
      </w:r>
      <w:r w:rsidRPr="00B63236">
        <w:rPr>
          <w:rFonts w:cs="Arial"/>
          <w:szCs w:val="20"/>
        </w:rPr>
        <w:t xml:space="preserve">generalnych wykonawców działających na polskim rynku. </w:t>
      </w:r>
    </w:p>
    <w:p w14:paraId="16808BD2" w14:textId="334E22A4" w:rsidR="00A1750B" w:rsidRPr="00B63236" w:rsidRDefault="00A1750B" w:rsidP="00A1750B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Patronat nad raportem objęły Polski Związek Firm Deweloperski</w:t>
      </w:r>
      <w:r w:rsidR="005F4AD3">
        <w:rPr>
          <w:rFonts w:cs="Arial"/>
          <w:szCs w:val="20"/>
        </w:rPr>
        <w:t>ch, Polski Związek Inżynierów i </w:t>
      </w:r>
      <w:r>
        <w:rPr>
          <w:rFonts w:cs="Arial"/>
          <w:szCs w:val="20"/>
        </w:rPr>
        <w:t>Techników Budownictwa, Polski Związek Pracodawców Budownictwa, Stowarzyszenie Architektów Polskich SARP. Pełna wersja do pobrania ze strony</w:t>
      </w:r>
      <w:r w:rsidR="00B83B37">
        <w:rPr>
          <w:rFonts w:cs="Arial"/>
          <w:szCs w:val="20"/>
        </w:rPr>
        <w:t xml:space="preserve"> </w:t>
      </w:r>
      <w:hyperlink r:id="rId8" w:history="1">
        <w:r w:rsidR="00B83B37">
          <w:rPr>
            <w:rStyle w:val="Hipercze"/>
            <w:rFonts w:cs="Arial"/>
            <w:color w:val="005FB2"/>
            <w:sz w:val="21"/>
            <w:szCs w:val="21"/>
            <w:shd w:val="clear" w:color="auto" w:fill="FFFFFF"/>
            <w:lang w:val="en-US"/>
          </w:rPr>
          <w:t>http://autodesk.pl/campaigns/aec/wizja-liderow-2025</w:t>
        </w:r>
      </w:hyperlink>
    </w:p>
    <w:p w14:paraId="514744B5" w14:textId="72291EA8" w:rsidR="00D613D9" w:rsidRPr="00B63236" w:rsidRDefault="00D613D9" w:rsidP="00D613D9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Raport obejmuje cztery obszary tematyczne</w:t>
      </w:r>
      <w:r w:rsidR="00ED1024">
        <w:rPr>
          <w:rFonts w:cs="Arial"/>
          <w:szCs w:val="20"/>
        </w:rPr>
        <w:t xml:space="preserve"> prezentowane w perspektywie do 20</w:t>
      </w:r>
      <w:r w:rsidR="005F4AD3">
        <w:rPr>
          <w:rFonts w:cs="Arial"/>
          <w:szCs w:val="20"/>
        </w:rPr>
        <w:t>2</w:t>
      </w:r>
      <w:r w:rsidR="00ED1024">
        <w:rPr>
          <w:rFonts w:cs="Arial"/>
          <w:szCs w:val="20"/>
        </w:rPr>
        <w:t>5 roku</w:t>
      </w:r>
      <w:r>
        <w:rPr>
          <w:rFonts w:cs="Arial"/>
          <w:szCs w:val="20"/>
        </w:rPr>
        <w:t>: Wyzwania polskiego rynku budowlanego</w:t>
      </w:r>
      <w:r w:rsidR="00ED1024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Potencjał wzrostu efektywności, </w:t>
      </w:r>
      <w:r w:rsidR="00ED1024">
        <w:rPr>
          <w:rFonts w:cs="Arial"/>
          <w:szCs w:val="20"/>
        </w:rPr>
        <w:t xml:space="preserve">Rola technologii w branży budowlanej, Podejście do innowacji. </w:t>
      </w:r>
      <w:r>
        <w:rPr>
          <w:rFonts w:cs="Arial"/>
          <w:szCs w:val="20"/>
        </w:rPr>
        <w:t xml:space="preserve"> </w:t>
      </w:r>
    </w:p>
    <w:p w14:paraId="5C3DDC8F" w14:textId="01B504D5" w:rsidR="00D613D9" w:rsidRDefault="00E9744E" w:rsidP="00983860">
      <w:pPr>
        <w:spacing w:before="100" w:beforeAutospacing="1" w:after="100" w:afterAutospacing="1" w:line="360" w:lineRule="auto"/>
        <w:rPr>
          <w:rFonts w:cs="Arial"/>
          <w:b/>
          <w:bCs/>
          <w:szCs w:val="20"/>
        </w:rPr>
      </w:pPr>
      <w:r w:rsidRPr="00003716">
        <w:rPr>
          <w:rFonts w:cs="Arial"/>
          <w:b/>
          <w:bCs/>
          <w:szCs w:val="20"/>
        </w:rPr>
        <w:t>Kluczowe wnioski z raportu</w:t>
      </w:r>
    </w:p>
    <w:p w14:paraId="38E28392" w14:textId="13B97A68" w:rsidR="00595871" w:rsidRDefault="00595871" w:rsidP="00595871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Respondenci są zgodni – najbliższe lata to raczej optymalizacja i stopniowe wdrażanie nowych rozwiązań niż rewolucja. </w:t>
      </w:r>
      <w:r w:rsidR="005F4AD3">
        <w:rPr>
          <w:rFonts w:cs="Arial"/>
          <w:bCs/>
          <w:szCs w:val="20"/>
        </w:rPr>
        <w:t>Liderzy o</w:t>
      </w:r>
      <w:r>
        <w:rPr>
          <w:rFonts w:cs="Arial"/>
          <w:bCs/>
          <w:szCs w:val="20"/>
        </w:rPr>
        <w:t>ceniają, że większość rozwiązań jest już dostępna, teraz czas na ich coraz szers</w:t>
      </w:r>
      <w:r w:rsidR="005F4AD3">
        <w:rPr>
          <w:rFonts w:cs="Arial"/>
          <w:bCs/>
          <w:szCs w:val="20"/>
        </w:rPr>
        <w:t xml:space="preserve">ze zastosowanie. To także czas </w:t>
      </w:r>
      <w:r>
        <w:rPr>
          <w:rFonts w:cs="Arial"/>
          <w:bCs/>
          <w:szCs w:val="20"/>
        </w:rPr>
        <w:t xml:space="preserve">mierzenia się branży z wyzwaniami wynikającymi </w:t>
      </w:r>
      <w:r w:rsidR="005F4AD3">
        <w:rPr>
          <w:rFonts w:cs="Arial"/>
          <w:bCs/>
          <w:szCs w:val="20"/>
        </w:rPr>
        <w:t xml:space="preserve">m.in. </w:t>
      </w:r>
      <w:r>
        <w:rPr>
          <w:rFonts w:cs="Arial"/>
          <w:bCs/>
          <w:szCs w:val="20"/>
        </w:rPr>
        <w:t>z </w:t>
      </w:r>
      <w:r w:rsidR="00A1750B">
        <w:rPr>
          <w:rFonts w:cs="Arial"/>
          <w:bCs/>
          <w:szCs w:val="20"/>
        </w:rPr>
        <w:t>sytuacji na </w:t>
      </w:r>
      <w:r>
        <w:rPr>
          <w:rFonts w:cs="Arial"/>
          <w:bCs/>
          <w:szCs w:val="20"/>
        </w:rPr>
        <w:t xml:space="preserve">rynku pracy, rosnącymi cenami energii i materiałów budowlanych. </w:t>
      </w:r>
    </w:p>
    <w:p w14:paraId="64DE5027" w14:textId="6134C697" w:rsidR="00595871" w:rsidRDefault="00595871" w:rsidP="00595871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 drugiej strony, to wyjście naprzeciw nowym oczekiwaniom rynku – w zakresie ekologii, nowych potrzeb mieszkaniowych, zmiany preferencji inwestorów. Trendy społeczne, w tym większa mobilność, zmiana podejścia do własności, rosnąca świadomość w zakresie energooszczędności, zmiana charakteru pracy, czy starze</w:t>
      </w:r>
      <w:r w:rsidR="005F4AD3">
        <w:rPr>
          <w:rFonts w:cs="Arial"/>
          <w:bCs/>
          <w:szCs w:val="20"/>
        </w:rPr>
        <w:t xml:space="preserve">nie </w:t>
      </w:r>
      <w:r>
        <w:rPr>
          <w:rFonts w:cs="Arial"/>
          <w:bCs/>
          <w:szCs w:val="20"/>
        </w:rPr>
        <w:t>się społeczeństw</w:t>
      </w:r>
      <w:r w:rsidR="005F4AD3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 xml:space="preserve"> będą miały ogromny wpływ na to co i jak będzie budowane. </w:t>
      </w:r>
    </w:p>
    <w:p w14:paraId="6A6D9689" w14:textId="77777777" w:rsidR="00003716" w:rsidRPr="00003716" w:rsidRDefault="00E9744E" w:rsidP="00983860">
      <w:pPr>
        <w:spacing w:before="100" w:beforeAutospacing="1" w:after="100" w:afterAutospacing="1" w:line="360" w:lineRule="auto"/>
        <w:rPr>
          <w:rFonts w:cs="Arial"/>
          <w:b/>
          <w:szCs w:val="20"/>
        </w:rPr>
      </w:pPr>
      <w:r w:rsidRPr="00003716">
        <w:rPr>
          <w:rFonts w:cs="Arial"/>
          <w:b/>
          <w:szCs w:val="20"/>
        </w:rPr>
        <w:t>Wyzwania polskiego rynku budowlanego</w:t>
      </w:r>
      <w:r w:rsidR="00003716" w:rsidRPr="00003716">
        <w:rPr>
          <w:rFonts w:cs="Arial"/>
          <w:b/>
          <w:szCs w:val="20"/>
        </w:rPr>
        <w:t xml:space="preserve"> </w:t>
      </w:r>
    </w:p>
    <w:p w14:paraId="07CD9D45" w14:textId="2E49D3E9" w:rsidR="00D613D9" w:rsidRDefault="00003716" w:rsidP="00983860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Wśród najważniejszych wyzwań respondenci w</w:t>
      </w:r>
      <w:r w:rsidR="005F4AD3">
        <w:rPr>
          <w:rFonts w:cs="Arial"/>
          <w:szCs w:val="20"/>
        </w:rPr>
        <w:t>skazują</w:t>
      </w:r>
      <w:r>
        <w:rPr>
          <w:rFonts w:cs="Arial"/>
          <w:szCs w:val="20"/>
        </w:rPr>
        <w:t xml:space="preserve"> sytuację na rynku pracy, dostępność firm podwykonawczych i wzrost cen usług, zatory płatnicze, rosnące ceny energii i materiałów </w:t>
      </w:r>
      <w:r>
        <w:rPr>
          <w:rFonts w:cs="Arial"/>
          <w:szCs w:val="20"/>
        </w:rPr>
        <w:lastRenderedPageBreak/>
        <w:t>budowlanych. Nakłada się na to skomplikowane otoczenie instytucjonalne a także niska kultura współpracy.</w:t>
      </w:r>
    </w:p>
    <w:p w14:paraId="3E61D0DB" w14:textId="6FB3690B" w:rsidR="00003716" w:rsidRDefault="00003716" w:rsidP="00983860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 stronie atutów branży liderzy podkreślają, że polskie budownictwo to duży rynek, wysoka jakość usług oraz dobra kadra – zarówno techniczna jak i menedżerska. </w:t>
      </w:r>
    </w:p>
    <w:p w14:paraId="3518EDA3" w14:textId="73490CEC" w:rsidR="00E9744E" w:rsidRPr="00003716" w:rsidRDefault="00003716" w:rsidP="00983860">
      <w:pPr>
        <w:spacing w:before="100" w:beforeAutospacing="1" w:after="100" w:afterAutospacing="1" w:line="360" w:lineRule="auto"/>
        <w:rPr>
          <w:rFonts w:cs="Arial"/>
          <w:b/>
          <w:szCs w:val="20"/>
        </w:rPr>
      </w:pPr>
      <w:r w:rsidRPr="00003716">
        <w:rPr>
          <w:rFonts w:cs="Arial"/>
          <w:b/>
          <w:szCs w:val="20"/>
        </w:rPr>
        <w:t>Budownictwo przyszłości i p</w:t>
      </w:r>
      <w:r w:rsidR="00E9744E" w:rsidRPr="00003716">
        <w:rPr>
          <w:rFonts w:cs="Arial"/>
          <w:b/>
          <w:szCs w:val="20"/>
        </w:rPr>
        <w:t>otencjał wzrostu efektywności</w:t>
      </w:r>
      <w:r w:rsidRPr="00003716">
        <w:rPr>
          <w:rFonts w:cs="Arial"/>
          <w:b/>
          <w:szCs w:val="20"/>
        </w:rPr>
        <w:t xml:space="preserve"> branży</w:t>
      </w:r>
    </w:p>
    <w:p w14:paraId="47B50FD0" w14:textId="79C98645" w:rsidR="00595871" w:rsidRDefault="00595871" w:rsidP="00595871">
      <w:pPr>
        <w:spacing w:before="100" w:beforeAutospacing="1" w:after="100" w:afterAutospacing="1" w:line="360" w:lineRule="auto"/>
      </w:pPr>
      <w:r>
        <w:t>Zdaniem respondentów budownictwo przyszłości z</w:t>
      </w:r>
      <w:r w:rsidRPr="00595871">
        <w:t xml:space="preserve">determinuje kilka ważnych elementów. Przede wszystkim będą to kwestie związane z ekologią. Możemy spodziewać się również rozwoju nowoczesnych technik materiałowych. </w:t>
      </w:r>
      <w:r>
        <w:t xml:space="preserve">Coraz szerzej do budownictwa będzie wkraczać digitalizacja i automatyzacja procesów. Przyszłość branży silnie </w:t>
      </w:r>
      <w:r w:rsidRPr="00546029">
        <w:rPr>
          <w:b/>
        </w:rPr>
        <w:t>zdeterminuje postęp technologiczny, szczególnie w zakresie rozwiązań IT</w:t>
      </w:r>
      <w:r>
        <w:t xml:space="preserve">. Ważne będzie także nowe podejście do relacji na rynku - </w:t>
      </w:r>
      <w:r w:rsidRPr="008A119C">
        <w:rPr>
          <w:b/>
        </w:rPr>
        <w:t>współpraca</w:t>
      </w:r>
      <w:r>
        <w:t xml:space="preserve"> to słowo-klucz określające przyszłość branży. </w:t>
      </w:r>
    </w:p>
    <w:p w14:paraId="67C3F9DC" w14:textId="1187C39C" w:rsidR="00595871" w:rsidRPr="002A0335" w:rsidRDefault="00595871" w:rsidP="00595871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Praca nad zwiększeniem wydajności musi obejmować wszystkie fazy realizacji</w:t>
      </w:r>
      <w:r w:rsidR="005F4AD3">
        <w:rPr>
          <w:rFonts w:cs="Arial"/>
          <w:bCs/>
          <w:szCs w:val="20"/>
        </w:rPr>
        <w:t xml:space="preserve"> inwestycji</w:t>
      </w:r>
      <w:r>
        <w:rPr>
          <w:rFonts w:cs="Arial"/>
          <w:bCs/>
          <w:szCs w:val="20"/>
        </w:rPr>
        <w:t xml:space="preserve">. Obszary, w których należy szukać szans na wyższą efektywność to ograniczenie wykorzystania dokumentów papierowych, lepsza analiza danych do optymalizacji procesów, szersze zastosowanie BIM, nowe materiały, a także ściślejsza współpraca pomiędzy poszczególnymi podmiotami działającymi na rynku, zwłaszcza w fazie planowania inwestycji. </w:t>
      </w:r>
    </w:p>
    <w:p w14:paraId="18616141" w14:textId="6F3F1C5C" w:rsidR="00E9744E" w:rsidRPr="00595871" w:rsidRDefault="00E9744E" w:rsidP="00983860">
      <w:pPr>
        <w:spacing w:before="100" w:beforeAutospacing="1" w:after="100" w:afterAutospacing="1" w:line="360" w:lineRule="auto"/>
        <w:rPr>
          <w:rFonts w:cs="Arial"/>
          <w:b/>
          <w:szCs w:val="20"/>
        </w:rPr>
      </w:pPr>
      <w:r w:rsidRPr="00595871">
        <w:rPr>
          <w:rFonts w:cs="Arial"/>
          <w:b/>
          <w:szCs w:val="20"/>
        </w:rPr>
        <w:t>Rola technologii w branży budowlanej</w:t>
      </w:r>
    </w:p>
    <w:p w14:paraId="4354A691" w14:textId="6860EDE0" w:rsidR="00595871" w:rsidRDefault="00595871" w:rsidP="00983860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 opinii liderów branży poziom wykorzystania nowatorskich rozwiązań w branży budowlanej jest jeszcze na stosunkowo niskim poziomie. Niemniej zastosowanie takich rozwiązań jak Internet of </w:t>
      </w:r>
      <w:proofErr w:type="spellStart"/>
      <w:r>
        <w:rPr>
          <w:rFonts w:cs="Arial"/>
          <w:szCs w:val="20"/>
        </w:rPr>
        <w:t>Things</w:t>
      </w:r>
      <w:proofErr w:type="spellEnd"/>
      <w:r>
        <w:rPr>
          <w:rFonts w:cs="Arial"/>
          <w:szCs w:val="20"/>
        </w:rPr>
        <w:t xml:space="preserve">, roboty, </w:t>
      </w:r>
      <w:r w:rsidR="005F4AD3">
        <w:rPr>
          <w:rFonts w:cs="Arial"/>
          <w:szCs w:val="20"/>
        </w:rPr>
        <w:t xml:space="preserve">czy </w:t>
      </w:r>
      <w:r>
        <w:rPr>
          <w:rFonts w:cs="Arial"/>
          <w:szCs w:val="20"/>
        </w:rPr>
        <w:t xml:space="preserve">drony, będzie koniecznością, ze względu na rosnący poziom automatyzacji procesów. </w:t>
      </w:r>
    </w:p>
    <w:p w14:paraId="2037ECE3" w14:textId="189AE211" w:rsidR="00595871" w:rsidRDefault="00595871" w:rsidP="00983860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Wykorzystanie technologii w zakresie prac projektowo-architektonicznych</w:t>
      </w:r>
      <w:r w:rsidR="005F4AD3">
        <w:rPr>
          <w:rFonts w:cs="Arial"/>
          <w:szCs w:val="20"/>
        </w:rPr>
        <w:t xml:space="preserve"> oceniane jest wysoko</w:t>
      </w:r>
      <w:r>
        <w:rPr>
          <w:rFonts w:cs="Arial"/>
          <w:szCs w:val="20"/>
        </w:rPr>
        <w:t xml:space="preserve">. </w:t>
      </w:r>
      <w:r w:rsidR="00A1750B">
        <w:rPr>
          <w:rFonts w:cs="Arial"/>
          <w:szCs w:val="20"/>
        </w:rPr>
        <w:t xml:space="preserve">Rewolucja </w:t>
      </w:r>
      <w:r>
        <w:rPr>
          <w:rFonts w:cs="Arial"/>
          <w:szCs w:val="20"/>
        </w:rPr>
        <w:t xml:space="preserve">BIM to zmiana, która już się wydarzyła, kolejne lata to doskonalenie i uszczegóławianie tego procesu. </w:t>
      </w:r>
      <w:r w:rsidR="005F4AD3">
        <w:rPr>
          <w:rFonts w:cs="Arial"/>
          <w:szCs w:val="20"/>
        </w:rPr>
        <w:t>I</w:t>
      </w:r>
      <w:r>
        <w:rPr>
          <w:rFonts w:cs="Arial"/>
          <w:szCs w:val="20"/>
        </w:rPr>
        <w:t>ntegr</w:t>
      </w:r>
      <w:r w:rsidR="005F4AD3">
        <w:rPr>
          <w:rFonts w:cs="Arial"/>
          <w:szCs w:val="20"/>
        </w:rPr>
        <w:t xml:space="preserve">acja </w:t>
      </w:r>
      <w:r>
        <w:rPr>
          <w:rFonts w:cs="Arial"/>
          <w:szCs w:val="20"/>
        </w:rPr>
        <w:t>procesu – od projektowania</w:t>
      </w:r>
      <w:r w:rsidR="005F4AD3">
        <w:rPr>
          <w:rFonts w:cs="Arial"/>
          <w:szCs w:val="20"/>
        </w:rPr>
        <w:t>, przez realizację,</w:t>
      </w:r>
      <w:r>
        <w:rPr>
          <w:rFonts w:cs="Arial"/>
          <w:szCs w:val="20"/>
        </w:rPr>
        <w:t xml:space="preserve"> do obsługi i zarządzania obiektem </w:t>
      </w:r>
      <w:r w:rsidR="005F4AD3">
        <w:rPr>
          <w:rFonts w:cs="Arial"/>
          <w:szCs w:val="20"/>
        </w:rPr>
        <w:t>bezwzględnie przełoży się na wzrost wydajności branży</w:t>
      </w:r>
      <w:bookmarkStart w:id="0" w:name="_GoBack"/>
      <w:bookmarkEnd w:id="0"/>
      <w:r>
        <w:rPr>
          <w:rFonts w:cs="Arial"/>
          <w:szCs w:val="20"/>
        </w:rPr>
        <w:t xml:space="preserve">. </w:t>
      </w:r>
    </w:p>
    <w:p w14:paraId="6BF02337" w14:textId="7683E2BF" w:rsidR="00E9744E" w:rsidRPr="00595871" w:rsidRDefault="00E9744E" w:rsidP="00983860">
      <w:pPr>
        <w:spacing w:before="100" w:beforeAutospacing="1" w:after="100" w:afterAutospacing="1" w:line="360" w:lineRule="auto"/>
        <w:rPr>
          <w:rFonts w:cs="Arial"/>
          <w:b/>
          <w:szCs w:val="20"/>
        </w:rPr>
      </w:pPr>
      <w:r w:rsidRPr="00595871">
        <w:rPr>
          <w:rFonts w:cs="Arial"/>
          <w:b/>
          <w:szCs w:val="20"/>
        </w:rPr>
        <w:t>Podejście do innowacji</w:t>
      </w:r>
    </w:p>
    <w:p w14:paraId="3B146855" w14:textId="1984BD60" w:rsidR="00595871" w:rsidRDefault="00595871" w:rsidP="00595871">
      <w:pPr>
        <w:spacing w:before="100" w:beforeAutospacing="1" w:after="100" w:afterAutospacing="1" w:line="360" w:lineRule="auto"/>
      </w:pPr>
      <w:r w:rsidRPr="00CB4898">
        <w:t xml:space="preserve">Podejście polskiego budownictwa do innowacji jest zróżnicowane, mocno uzależnione od pozycji rynkowej. </w:t>
      </w:r>
      <w:r>
        <w:t xml:space="preserve">Najbardziej </w:t>
      </w:r>
      <w:r w:rsidRPr="00546029">
        <w:rPr>
          <w:b/>
        </w:rPr>
        <w:t>otwartą postawę wobec nowoczesnych rozwiązań prezentują najwięksi</w:t>
      </w:r>
      <w:r w:rsidRPr="00CB4898">
        <w:t xml:space="preserve"> – choć zgodnie z opiniami, nawet </w:t>
      </w:r>
      <w:r>
        <w:t xml:space="preserve">te firmy </w:t>
      </w:r>
      <w:r w:rsidRPr="00CB4898">
        <w:t xml:space="preserve">obecnie podchodzą do </w:t>
      </w:r>
      <w:r>
        <w:t xml:space="preserve">innowacji </w:t>
      </w:r>
      <w:r w:rsidRPr="00CB4898">
        <w:t xml:space="preserve">selektywnie. </w:t>
      </w:r>
      <w:r>
        <w:t xml:space="preserve">Panuje powszechne przekonanie, że jeżeli liderzy zaczną działać innowacyjnie, szeroko wykorzystywać nowe technologie, poprawiać swoją efektywność, w ślad za nimi pójdą kolejni. </w:t>
      </w:r>
      <w:r w:rsidRPr="00CB4898">
        <w:t xml:space="preserve">Z całą pewnością polskie budownictwo jest na etapie testowania innowacji. Branża dojrzewa do zmiany podejścia, </w:t>
      </w:r>
      <w:r>
        <w:t>niemniej i</w:t>
      </w:r>
      <w:r w:rsidRPr="00CB4898">
        <w:t>ntensywny proces absorbcji technologii z zewnątrz to dla budownictwa duże wyzwanie.</w:t>
      </w:r>
    </w:p>
    <w:p w14:paraId="63CBC463" w14:textId="77777777" w:rsidR="00557B33" w:rsidRPr="006049B9" w:rsidRDefault="00557B33" w:rsidP="00F93BB3">
      <w:pPr>
        <w:spacing w:line="360" w:lineRule="auto"/>
        <w:jc w:val="both"/>
        <w:rPr>
          <w:rFonts w:cs="Arial"/>
          <w:b/>
          <w:szCs w:val="20"/>
        </w:rPr>
      </w:pPr>
    </w:p>
    <w:p w14:paraId="28FAD00E" w14:textId="77777777" w:rsidR="002822F0" w:rsidRDefault="002822F0" w:rsidP="000D5A26">
      <w:pPr>
        <w:spacing w:after="120" w:line="360" w:lineRule="auto"/>
        <w:rPr>
          <w:rFonts w:cs="Arial"/>
          <w:b/>
          <w:szCs w:val="20"/>
        </w:rPr>
      </w:pPr>
    </w:p>
    <w:p w14:paraId="1B39E41B" w14:textId="77777777" w:rsidR="00557B33" w:rsidRPr="00880AC0" w:rsidRDefault="00557B33" w:rsidP="000D5A26">
      <w:pPr>
        <w:spacing w:after="120" w:line="360" w:lineRule="auto"/>
        <w:rPr>
          <w:rFonts w:cs="Arial"/>
          <w:b/>
          <w:szCs w:val="20"/>
        </w:rPr>
      </w:pPr>
      <w:r w:rsidRPr="00880AC0">
        <w:rPr>
          <w:rFonts w:cs="Arial"/>
          <w:b/>
          <w:szCs w:val="20"/>
        </w:rPr>
        <w:t>Informacje o Autodesk</w:t>
      </w:r>
    </w:p>
    <w:p w14:paraId="16F0A6FE" w14:textId="42DA64B1" w:rsidR="00557B33" w:rsidRDefault="00557B33" w:rsidP="00F93BB3">
      <w:pPr>
        <w:spacing w:after="120" w:line="360" w:lineRule="auto"/>
        <w:rPr>
          <w:rFonts w:cs="Arial"/>
          <w:szCs w:val="20"/>
        </w:rPr>
      </w:pPr>
      <w:r w:rsidRPr="003262B6">
        <w:rPr>
          <w:rFonts w:cs="Arial"/>
          <w:szCs w:val="20"/>
        </w:rPr>
        <w:t>Autodesk dostarcza oprogramowanie dla</w:t>
      </w:r>
      <w:r>
        <w:rPr>
          <w:rFonts w:cs="Arial"/>
          <w:szCs w:val="20"/>
        </w:rPr>
        <w:t xml:space="preserve"> ludzi, którzy tworzą</w:t>
      </w:r>
      <w:r w:rsidRPr="003262B6">
        <w:rPr>
          <w:rFonts w:cs="Arial"/>
          <w:szCs w:val="20"/>
        </w:rPr>
        <w:t xml:space="preserve">. Jeżeli kiedykolwiek prowadziłeś sportowy samochód, podziwiałeś imponujący wieżowiec, używałeś </w:t>
      </w:r>
      <w:proofErr w:type="spellStart"/>
      <w:r w:rsidRPr="003262B6">
        <w:rPr>
          <w:rFonts w:cs="Arial"/>
          <w:szCs w:val="20"/>
        </w:rPr>
        <w:t>smartfona</w:t>
      </w:r>
      <w:proofErr w:type="spellEnd"/>
      <w:r w:rsidRPr="003262B6">
        <w:rPr>
          <w:rFonts w:cs="Arial"/>
          <w:szCs w:val="20"/>
        </w:rPr>
        <w:t xml:space="preserve"> lub oglądałeś wspaniały film, bardzo możliwe, że doświadczyłeś tego, nad czym pracują miliony </w:t>
      </w:r>
      <w:r>
        <w:rPr>
          <w:rFonts w:cs="Arial"/>
          <w:szCs w:val="20"/>
        </w:rPr>
        <w:t>klientów</w:t>
      </w:r>
      <w:r w:rsidRPr="003262B6">
        <w:rPr>
          <w:rFonts w:cs="Arial"/>
          <w:szCs w:val="20"/>
        </w:rPr>
        <w:t xml:space="preserve"> Autodesk na całym świecie. Twórz, co tylko chcesz, z Autodesk. Więcej informacji na </w:t>
      </w:r>
      <w:hyperlink r:id="rId9" w:history="1">
        <w:r w:rsidR="0072413D" w:rsidRPr="00B27E6F">
          <w:rPr>
            <w:rStyle w:val="Hipercze"/>
            <w:rFonts w:cs="Arial"/>
            <w:szCs w:val="20"/>
          </w:rPr>
          <w:t>www.autodesk.pl</w:t>
        </w:r>
      </w:hyperlink>
      <w:r w:rsidRPr="003262B6">
        <w:rPr>
          <w:rFonts w:cs="Arial"/>
          <w:szCs w:val="20"/>
        </w:rPr>
        <w:t xml:space="preserve">, </w:t>
      </w:r>
      <w:hyperlink r:id="rId10" w:history="1">
        <w:r w:rsidRPr="003262B6">
          <w:rPr>
            <w:rStyle w:val="Hipercze"/>
            <w:rFonts w:cs="Arial"/>
            <w:szCs w:val="20"/>
          </w:rPr>
          <w:t>www.facebook.com/Autodesk.Poland</w:t>
        </w:r>
      </w:hyperlink>
      <w:r w:rsidRPr="003262B6">
        <w:rPr>
          <w:rFonts w:cs="Arial"/>
          <w:szCs w:val="20"/>
        </w:rPr>
        <w:t xml:space="preserve"> </w:t>
      </w:r>
    </w:p>
    <w:p w14:paraId="2943272E" w14:textId="77777777" w:rsidR="00557B33" w:rsidRDefault="00557B33" w:rsidP="00F93BB3">
      <w:pPr>
        <w:spacing w:after="120" w:line="360" w:lineRule="auto"/>
        <w:rPr>
          <w:rFonts w:cs="Arial"/>
          <w:szCs w:val="20"/>
        </w:rPr>
      </w:pPr>
    </w:p>
    <w:sectPr w:rsidR="00557B33" w:rsidSect="002822F0">
      <w:headerReference w:type="default" r:id="rId11"/>
      <w:foot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6B6D" w14:textId="77777777" w:rsidR="00F02B32" w:rsidRDefault="00F02B32" w:rsidP="00880AC0">
      <w:r>
        <w:separator/>
      </w:r>
    </w:p>
  </w:endnote>
  <w:endnote w:type="continuationSeparator" w:id="0">
    <w:p w14:paraId="56E0DDD3" w14:textId="77777777" w:rsidR="00F02B32" w:rsidRDefault="00F02B32" w:rsidP="008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4FE3" w14:textId="316A7322" w:rsidR="00557B33" w:rsidRDefault="001118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AD8FE1F" wp14:editId="0032A181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470" cy="228600"/>
          <wp:effectExtent l="0" t="0" r="508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8A11" w14:textId="77777777" w:rsidR="00F02B32" w:rsidRDefault="00F02B32" w:rsidP="00880AC0">
      <w:r>
        <w:separator/>
      </w:r>
    </w:p>
  </w:footnote>
  <w:footnote w:type="continuationSeparator" w:id="0">
    <w:p w14:paraId="771AE2A4" w14:textId="77777777" w:rsidR="00F02B32" w:rsidRDefault="00F02B32" w:rsidP="0088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803B" w14:textId="620A560A" w:rsidR="00557B33" w:rsidRDefault="001118DC">
    <w:pPr>
      <w:pStyle w:val="Nagwek"/>
    </w:pPr>
    <w:r>
      <w:rPr>
        <w:noProof/>
        <w:lang w:eastAsia="pl-PL"/>
      </w:rPr>
      <w:drawing>
        <wp:inline distT="0" distB="0" distL="0" distR="0" wp14:anchorId="40A0FB64" wp14:editId="0E515A85">
          <wp:extent cx="2179320" cy="228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C09"/>
    <w:multiLevelType w:val="multilevel"/>
    <w:tmpl w:val="FF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531C6"/>
    <w:multiLevelType w:val="multilevel"/>
    <w:tmpl w:val="5FF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114DE"/>
    <w:multiLevelType w:val="multilevel"/>
    <w:tmpl w:val="92F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41480"/>
    <w:multiLevelType w:val="hybridMultilevel"/>
    <w:tmpl w:val="437C6078"/>
    <w:lvl w:ilvl="0" w:tplc="6190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0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E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4A1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4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0"/>
    <w:rsid w:val="00003716"/>
    <w:rsid w:val="00024F55"/>
    <w:rsid w:val="000315F5"/>
    <w:rsid w:val="00033F82"/>
    <w:rsid w:val="0004731F"/>
    <w:rsid w:val="00047B0A"/>
    <w:rsid w:val="00051A1A"/>
    <w:rsid w:val="00070BF6"/>
    <w:rsid w:val="00075011"/>
    <w:rsid w:val="00077634"/>
    <w:rsid w:val="00081E46"/>
    <w:rsid w:val="00084780"/>
    <w:rsid w:val="00092281"/>
    <w:rsid w:val="000A1843"/>
    <w:rsid w:val="000A33E7"/>
    <w:rsid w:val="000B2CE8"/>
    <w:rsid w:val="000B3738"/>
    <w:rsid w:val="000B4668"/>
    <w:rsid w:val="000B7C7F"/>
    <w:rsid w:val="000C0553"/>
    <w:rsid w:val="000C3A3F"/>
    <w:rsid w:val="000D0745"/>
    <w:rsid w:val="000D0F93"/>
    <w:rsid w:val="000D3F7E"/>
    <w:rsid w:val="000D4FB9"/>
    <w:rsid w:val="000D5A26"/>
    <w:rsid w:val="000D6D93"/>
    <w:rsid w:val="000D7EF4"/>
    <w:rsid w:val="000E5EBE"/>
    <w:rsid w:val="000E7DC1"/>
    <w:rsid w:val="000F0BCA"/>
    <w:rsid w:val="000F652B"/>
    <w:rsid w:val="0010464A"/>
    <w:rsid w:val="001118DC"/>
    <w:rsid w:val="0013102A"/>
    <w:rsid w:val="001377A1"/>
    <w:rsid w:val="001377F6"/>
    <w:rsid w:val="001527EE"/>
    <w:rsid w:val="00171B81"/>
    <w:rsid w:val="001803A1"/>
    <w:rsid w:val="00192EF2"/>
    <w:rsid w:val="00197009"/>
    <w:rsid w:val="001A025B"/>
    <w:rsid w:val="001A07DD"/>
    <w:rsid w:val="001A6040"/>
    <w:rsid w:val="001A6E31"/>
    <w:rsid w:val="001B586B"/>
    <w:rsid w:val="001C5837"/>
    <w:rsid w:val="001E42A1"/>
    <w:rsid w:val="001E4F73"/>
    <w:rsid w:val="001E6C42"/>
    <w:rsid w:val="001E7832"/>
    <w:rsid w:val="00206967"/>
    <w:rsid w:val="0020704C"/>
    <w:rsid w:val="00214443"/>
    <w:rsid w:val="00214E5A"/>
    <w:rsid w:val="00216F35"/>
    <w:rsid w:val="002278C3"/>
    <w:rsid w:val="00234502"/>
    <w:rsid w:val="00242F1D"/>
    <w:rsid w:val="00244E2E"/>
    <w:rsid w:val="00253E60"/>
    <w:rsid w:val="00255C27"/>
    <w:rsid w:val="00264326"/>
    <w:rsid w:val="002822F0"/>
    <w:rsid w:val="00293F6A"/>
    <w:rsid w:val="00293FE9"/>
    <w:rsid w:val="00296B31"/>
    <w:rsid w:val="002979E2"/>
    <w:rsid w:val="002A0335"/>
    <w:rsid w:val="002A26B2"/>
    <w:rsid w:val="002A3724"/>
    <w:rsid w:val="002B5740"/>
    <w:rsid w:val="002C268D"/>
    <w:rsid w:val="002D7933"/>
    <w:rsid w:val="002D7DF7"/>
    <w:rsid w:val="002E5D30"/>
    <w:rsid w:val="002E74E9"/>
    <w:rsid w:val="002F0818"/>
    <w:rsid w:val="003002A8"/>
    <w:rsid w:val="00302743"/>
    <w:rsid w:val="00303BB0"/>
    <w:rsid w:val="003044E3"/>
    <w:rsid w:val="00306BD7"/>
    <w:rsid w:val="00310702"/>
    <w:rsid w:val="00312FDF"/>
    <w:rsid w:val="00316749"/>
    <w:rsid w:val="00320E4C"/>
    <w:rsid w:val="00324498"/>
    <w:rsid w:val="003262B6"/>
    <w:rsid w:val="00331595"/>
    <w:rsid w:val="003442E1"/>
    <w:rsid w:val="00361AA6"/>
    <w:rsid w:val="00361EB7"/>
    <w:rsid w:val="00364B4E"/>
    <w:rsid w:val="003652E3"/>
    <w:rsid w:val="00370751"/>
    <w:rsid w:val="00381100"/>
    <w:rsid w:val="00387B21"/>
    <w:rsid w:val="00394B83"/>
    <w:rsid w:val="003A1578"/>
    <w:rsid w:val="003A2FA9"/>
    <w:rsid w:val="003C201E"/>
    <w:rsid w:val="003C71C8"/>
    <w:rsid w:val="003E6111"/>
    <w:rsid w:val="003F0EC8"/>
    <w:rsid w:val="003F2690"/>
    <w:rsid w:val="003F462F"/>
    <w:rsid w:val="004008E2"/>
    <w:rsid w:val="00415DB3"/>
    <w:rsid w:val="0042185A"/>
    <w:rsid w:val="0042532B"/>
    <w:rsid w:val="0043697D"/>
    <w:rsid w:val="0044081F"/>
    <w:rsid w:val="00447960"/>
    <w:rsid w:val="004511A1"/>
    <w:rsid w:val="004534F0"/>
    <w:rsid w:val="004574F4"/>
    <w:rsid w:val="00462BCE"/>
    <w:rsid w:val="00477EB6"/>
    <w:rsid w:val="004903BB"/>
    <w:rsid w:val="00495269"/>
    <w:rsid w:val="004A01F3"/>
    <w:rsid w:val="004A25AD"/>
    <w:rsid w:val="004A2C65"/>
    <w:rsid w:val="004A67C6"/>
    <w:rsid w:val="004A6BB1"/>
    <w:rsid w:val="004B4C36"/>
    <w:rsid w:val="004C07E3"/>
    <w:rsid w:val="004C7489"/>
    <w:rsid w:val="004C7EC3"/>
    <w:rsid w:val="004D559B"/>
    <w:rsid w:val="004E3EE5"/>
    <w:rsid w:val="004F1BF9"/>
    <w:rsid w:val="004F47CF"/>
    <w:rsid w:val="00520304"/>
    <w:rsid w:val="0053596C"/>
    <w:rsid w:val="00537450"/>
    <w:rsid w:val="00537C6A"/>
    <w:rsid w:val="00546029"/>
    <w:rsid w:val="0054733A"/>
    <w:rsid w:val="00553CD8"/>
    <w:rsid w:val="00557B33"/>
    <w:rsid w:val="00565DA2"/>
    <w:rsid w:val="00566D28"/>
    <w:rsid w:val="00573716"/>
    <w:rsid w:val="005839E6"/>
    <w:rsid w:val="005848EE"/>
    <w:rsid w:val="00584A56"/>
    <w:rsid w:val="0058695D"/>
    <w:rsid w:val="00590D8A"/>
    <w:rsid w:val="00595871"/>
    <w:rsid w:val="005A1758"/>
    <w:rsid w:val="005A512D"/>
    <w:rsid w:val="005B6970"/>
    <w:rsid w:val="005B6D58"/>
    <w:rsid w:val="005B773B"/>
    <w:rsid w:val="005C674E"/>
    <w:rsid w:val="005C6751"/>
    <w:rsid w:val="005D1A06"/>
    <w:rsid w:val="005E334D"/>
    <w:rsid w:val="005E5BAF"/>
    <w:rsid w:val="005F4A0C"/>
    <w:rsid w:val="005F4AD3"/>
    <w:rsid w:val="005F637E"/>
    <w:rsid w:val="005F72D2"/>
    <w:rsid w:val="006049B9"/>
    <w:rsid w:val="00622959"/>
    <w:rsid w:val="00626F2C"/>
    <w:rsid w:val="006304B3"/>
    <w:rsid w:val="0064018A"/>
    <w:rsid w:val="00640C4C"/>
    <w:rsid w:val="0064437B"/>
    <w:rsid w:val="00646ADC"/>
    <w:rsid w:val="006505E8"/>
    <w:rsid w:val="00661A00"/>
    <w:rsid w:val="00673C36"/>
    <w:rsid w:val="00680D73"/>
    <w:rsid w:val="00691E31"/>
    <w:rsid w:val="0069220F"/>
    <w:rsid w:val="006A4E00"/>
    <w:rsid w:val="006A7441"/>
    <w:rsid w:val="006B6099"/>
    <w:rsid w:val="006C653C"/>
    <w:rsid w:val="006D534D"/>
    <w:rsid w:val="006D5E88"/>
    <w:rsid w:val="006D6D79"/>
    <w:rsid w:val="006D6EA5"/>
    <w:rsid w:val="006E1F54"/>
    <w:rsid w:val="006E3286"/>
    <w:rsid w:val="006E3967"/>
    <w:rsid w:val="00702C50"/>
    <w:rsid w:val="0070630B"/>
    <w:rsid w:val="0071401B"/>
    <w:rsid w:val="0072130E"/>
    <w:rsid w:val="0072413D"/>
    <w:rsid w:val="00733900"/>
    <w:rsid w:val="007517A7"/>
    <w:rsid w:val="007550B3"/>
    <w:rsid w:val="007662E7"/>
    <w:rsid w:val="007669D4"/>
    <w:rsid w:val="00770972"/>
    <w:rsid w:val="007728D0"/>
    <w:rsid w:val="007765FD"/>
    <w:rsid w:val="00784F67"/>
    <w:rsid w:val="007854DE"/>
    <w:rsid w:val="00786027"/>
    <w:rsid w:val="00790253"/>
    <w:rsid w:val="007951A6"/>
    <w:rsid w:val="00797A9B"/>
    <w:rsid w:val="007A0163"/>
    <w:rsid w:val="007C11DD"/>
    <w:rsid w:val="007E453A"/>
    <w:rsid w:val="007F3997"/>
    <w:rsid w:val="007F632F"/>
    <w:rsid w:val="00801846"/>
    <w:rsid w:val="00807588"/>
    <w:rsid w:val="00815190"/>
    <w:rsid w:val="00821349"/>
    <w:rsid w:val="00841A39"/>
    <w:rsid w:val="00843CCD"/>
    <w:rsid w:val="008626D7"/>
    <w:rsid w:val="008630EB"/>
    <w:rsid w:val="00863593"/>
    <w:rsid w:val="0087486B"/>
    <w:rsid w:val="008753B1"/>
    <w:rsid w:val="008760D7"/>
    <w:rsid w:val="008800C6"/>
    <w:rsid w:val="00880AC0"/>
    <w:rsid w:val="0088572F"/>
    <w:rsid w:val="00892EE0"/>
    <w:rsid w:val="00894DA6"/>
    <w:rsid w:val="008969F5"/>
    <w:rsid w:val="00897733"/>
    <w:rsid w:val="008977BF"/>
    <w:rsid w:val="008A13C0"/>
    <w:rsid w:val="008A3547"/>
    <w:rsid w:val="008A36B5"/>
    <w:rsid w:val="008C30D6"/>
    <w:rsid w:val="008C385C"/>
    <w:rsid w:val="008D128C"/>
    <w:rsid w:val="008D654D"/>
    <w:rsid w:val="008E0B4F"/>
    <w:rsid w:val="008F46E6"/>
    <w:rsid w:val="008F496F"/>
    <w:rsid w:val="008F6E45"/>
    <w:rsid w:val="008F7B74"/>
    <w:rsid w:val="00907532"/>
    <w:rsid w:val="0091167A"/>
    <w:rsid w:val="00915F32"/>
    <w:rsid w:val="00931DA3"/>
    <w:rsid w:val="00935747"/>
    <w:rsid w:val="009406CF"/>
    <w:rsid w:val="00941091"/>
    <w:rsid w:val="00965C30"/>
    <w:rsid w:val="00970E74"/>
    <w:rsid w:val="0097104F"/>
    <w:rsid w:val="00976D4B"/>
    <w:rsid w:val="00983860"/>
    <w:rsid w:val="0098594D"/>
    <w:rsid w:val="009A10EF"/>
    <w:rsid w:val="009A610D"/>
    <w:rsid w:val="009B5148"/>
    <w:rsid w:val="009B6E38"/>
    <w:rsid w:val="009B7644"/>
    <w:rsid w:val="009C4059"/>
    <w:rsid w:val="009C428D"/>
    <w:rsid w:val="009C461D"/>
    <w:rsid w:val="009C4B3F"/>
    <w:rsid w:val="009D3869"/>
    <w:rsid w:val="00A020CD"/>
    <w:rsid w:val="00A02A95"/>
    <w:rsid w:val="00A173C9"/>
    <w:rsid w:val="00A1750B"/>
    <w:rsid w:val="00A30983"/>
    <w:rsid w:val="00A34244"/>
    <w:rsid w:val="00A35188"/>
    <w:rsid w:val="00A42878"/>
    <w:rsid w:val="00A42A66"/>
    <w:rsid w:val="00A471B0"/>
    <w:rsid w:val="00A511E1"/>
    <w:rsid w:val="00A5159B"/>
    <w:rsid w:val="00A70644"/>
    <w:rsid w:val="00A70F32"/>
    <w:rsid w:val="00A72029"/>
    <w:rsid w:val="00A7457C"/>
    <w:rsid w:val="00A75654"/>
    <w:rsid w:val="00A81374"/>
    <w:rsid w:val="00A81D70"/>
    <w:rsid w:val="00A83C77"/>
    <w:rsid w:val="00A87BD7"/>
    <w:rsid w:val="00A96ECC"/>
    <w:rsid w:val="00AA295A"/>
    <w:rsid w:val="00AA60C9"/>
    <w:rsid w:val="00AA763F"/>
    <w:rsid w:val="00AB79C4"/>
    <w:rsid w:val="00AD4A5C"/>
    <w:rsid w:val="00AD5993"/>
    <w:rsid w:val="00AE0C0A"/>
    <w:rsid w:val="00AE0FA6"/>
    <w:rsid w:val="00AE3116"/>
    <w:rsid w:val="00AF1631"/>
    <w:rsid w:val="00AF33EA"/>
    <w:rsid w:val="00AF5607"/>
    <w:rsid w:val="00AF7806"/>
    <w:rsid w:val="00AF7F88"/>
    <w:rsid w:val="00B12179"/>
    <w:rsid w:val="00B13C02"/>
    <w:rsid w:val="00B23D09"/>
    <w:rsid w:val="00B27815"/>
    <w:rsid w:val="00B4023C"/>
    <w:rsid w:val="00B44665"/>
    <w:rsid w:val="00B47E4C"/>
    <w:rsid w:val="00B510BE"/>
    <w:rsid w:val="00B63236"/>
    <w:rsid w:val="00B641A0"/>
    <w:rsid w:val="00B72AA7"/>
    <w:rsid w:val="00B7482F"/>
    <w:rsid w:val="00B75D11"/>
    <w:rsid w:val="00B80958"/>
    <w:rsid w:val="00B80FFB"/>
    <w:rsid w:val="00B83B37"/>
    <w:rsid w:val="00B86DD5"/>
    <w:rsid w:val="00B92FFE"/>
    <w:rsid w:val="00B93878"/>
    <w:rsid w:val="00B95677"/>
    <w:rsid w:val="00BA35BC"/>
    <w:rsid w:val="00BD3D88"/>
    <w:rsid w:val="00BD4091"/>
    <w:rsid w:val="00BE06A2"/>
    <w:rsid w:val="00BE297D"/>
    <w:rsid w:val="00BE57E3"/>
    <w:rsid w:val="00BF0F08"/>
    <w:rsid w:val="00BF3C87"/>
    <w:rsid w:val="00C0017F"/>
    <w:rsid w:val="00C03261"/>
    <w:rsid w:val="00C047C5"/>
    <w:rsid w:val="00C1146D"/>
    <w:rsid w:val="00C12FDE"/>
    <w:rsid w:val="00C21DCD"/>
    <w:rsid w:val="00C2227E"/>
    <w:rsid w:val="00C235BB"/>
    <w:rsid w:val="00C425DD"/>
    <w:rsid w:val="00C50AF4"/>
    <w:rsid w:val="00C52478"/>
    <w:rsid w:val="00C66CD5"/>
    <w:rsid w:val="00C7640C"/>
    <w:rsid w:val="00C93073"/>
    <w:rsid w:val="00C97BAE"/>
    <w:rsid w:val="00CA0523"/>
    <w:rsid w:val="00CD0ABD"/>
    <w:rsid w:val="00CE32CB"/>
    <w:rsid w:val="00CF1628"/>
    <w:rsid w:val="00CF5147"/>
    <w:rsid w:val="00D01240"/>
    <w:rsid w:val="00D31D86"/>
    <w:rsid w:val="00D32EB2"/>
    <w:rsid w:val="00D33BA3"/>
    <w:rsid w:val="00D34618"/>
    <w:rsid w:val="00D613D9"/>
    <w:rsid w:val="00D7399B"/>
    <w:rsid w:val="00DA7261"/>
    <w:rsid w:val="00DB04ED"/>
    <w:rsid w:val="00DC43A5"/>
    <w:rsid w:val="00DC676D"/>
    <w:rsid w:val="00DC7654"/>
    <w:rsid w:val="00DD64B2"/>
    <w:rsid w:val="00DE0114"/>
    <w:rsid w:val="00DE1382"/>
    <w:rsid w:val="00DF2205"/>
    <w:rsid w:val="00DF7C2D"/>
    <w:rsid w:val="00DF7F9D"/>
    <w:rsid w:val="00E010DD"/>
    <w:rsid w:val="00E10C89"/>
    <w:rsid w:val="00E131BD"/>
    <w:rsid w:val="00E16471"/>
    <w:rsid w:val="00E26C33"/>
    <w:rsid w:val="00E3329B"/>
    <w:rsid w:val="00E34447"/>
    <w:rsid w:val="00E34CB7"/>
    <w:rsid w:val="00E374BE"/>
    <w:rsid w:val="00E42B1C"/>
    <w:rsid w:val="00E47F32"/>
    <w:rsid w:val="00E53424"/>
    <w:rsid w:val="00E74032"/>
    <w:rsid w:val="00E74096"/>
    <w:rsid w:val="00E87CA5"/>
    <w:rsid w:val="00E95629"/>
    <w:rsid w:val="00E9744E"/>
    <w:rsid w:val="00EA214A"/>
    <w:rsid w:val="00EC4B4F"/>
    <w:rsid w:val="00EC66F1"/>
    <w:rsid w:val="00ED1024"/>
    <w:rsid w:val="00ED2F30"/>
    <w:rsid w:val="00EE2867"/>
    <w:rsid w:val="00EE5382"/>
    <w:rsid w:val="00EF4ADA"/>
    <w:rsid w:val="00EF7E50"/>
    <w:rsid w:val="00F01F0B"/>
    <w:rsid w:val="00F02B32"/>
    <w:rsid w:val="00F12153"/>
    <w:rsid w:val="00F15C98"/>
    <w:rsid w:val="00F2438B"/>
    <w:rsid w:val="00F329FD"/>
    <w:rsid w:val="00F419A9"/>
    <w:rsid w:val="00F4244D"/>
    <w:rsid w:val="00F44D35"/>
    <w:rsid w:val="00F525E9"/>
    <w:rsid w:val="00F65992"/>
    <w:rsid w:val="00F72960"/>
    <w:rsid w:val="00F82DEA"/>
    <w:rsid w:val="00F93BB3"/>
    <w:rsid w:val="00F9484C"/>
    <w:rsid w:val="00F960FA"/>
    <w:rsid w:val="00F961F6"/>
    <w:rsid w:val="00FA76A4"/>
    <w:rsid w:val="00FA7B47"/>
    <w:rsid w:val="00FB23AB"/>
    <w:rsid w:val="00FC02A8"/>
    <w:rsid w:val="00FC508D"/>
    <w:rsid w:val="00FD16F7"/>
    <w:rsid w:val="00FD45D7"/>
    <w:rsid w:val="00FE04E6"/>
    <w:rsid w:val="00FF01D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4478EA"/>
  <w15:docId w15:val="{0F6366FB-C7B7-4D93-A3A6-3EAA21B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0EB"/>
    <w:rPr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D6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80A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880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0AC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80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0A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0A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uiPriority w:val="99"/>
    <w:rsid w:val="00880AC0"/>
    <w:pPr>
      <w:tabs>
        <w:tab w:val="left" w:pos="900"/>
      </w:tabs>
      <w:spacing w:line="360" w:lineRule="auto"/>
    </w:pPr>
    <w:rPr>
      <w:rFonts w:eastAsia="MS Mincho"/>
      <w:sz w:val="18"/>
      <w:szCs w:val="20"/>
      <w:lang w:val="en-US"/>
    </w:rPr>
  </w:style>
  <w:style w:type="character" w:styleId="Hipercze">
    <w:name w:val="Hyperlink"/>
    <w:uiPriority w:val="99"/>
    <w:rsid w:val="00565DA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27EE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27E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27E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9410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091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09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1091"/>
    <w:rPr>
      <w:rFonts w:cs="Times New Roman"/>
      <w:b/>
      <w:bCs/>
      <w:sz w:val="20"/>
      <w:szCs w:val="20"/>
    </w:rPr>
  </w:style>
  <w:style w:type="character" w:styleId="Uwydatnienie">
    <w:name w:val="Emphasis"/>
    <w:uiPriority w:val="99"/>
    <w:qFormat/>
    <w:rsid w:val="006E1F54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AF33E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1377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D6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desk.pl/campaigns/aec/wizja-liderow-2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utodesk.Po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de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E96F-97CA-4D8F-91C3-C0AAD836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Sapija</dc:creator>
  <cp:keywords/>
  <dc:description/>
  <cp:lastModifiedBy>Dorota Sapija</cp:lastModifiedBy>
  <cp:revision>3</cp:revision>
  <cp:lastPrinted>2019-06-18T07:50:00Z</cp:lastPrinted>
  <dcterms:created xsi:type="dcterms:W3CDTF">2019-06-22T08:20:00Z</dcterms:created>
  <dcterms:modified xsi:type="dcterms:W3CDTF">2019-06-22T08:27:00Z</dcterms:modified>
</cp:coreProperties>
</file>